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8" w:rsidRPr="000765DD"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bCs w:val="0"/>
          <w:color w:val="auto"/>
          <w:spacing w:val="0"/>
          <w:sz w:val="18"/>
          <w:lang w:eastAsia="zh-TW"/>
        </w:rPr>
        <w:t>渣打國際商業銀</w:t>
      </w:r>
      <w:r w:rsidRPr="000765DD">
        <w:rPr>
          <w:rStyle w:val="BookTitle"/>
          <w:rFonts w:eastAsia="標楷體" w:cstheme="minorHAnsi" w:hint="eastAsia"/>
          <w:color w:val="auto"/>
          <w:spacing w:val="0"/>
          <w:sz w:val="18"/>
          <w:lang w:eastAsia="zh-TW"/>
        </w:rPr>
        <w:t>行</w:t>
      </w:r>
      <w:r w:rsidR="00CB62C7">
        <w:rPr>
          <w:rStyle w:val="BookTitle"/>
          <w:rFonts w:eastAsia="標楷體" w:cstheme="minorHAnsi" w:hint="eastAsia"/>
          <w:color w:val="auto"/>
          <w:spacing w:val="0"/>
          <w:sz w:val="18"/>
          <w:lang w:eastAsia="zh-TW"/>
        </w:rPr>
        <w:t>等</w:t>
      </w:r>
      <w:r w:rsidRPr="000765DD">
        <w:rPr>
          <w:rStyle w:val="BookTitle"/>
          <w:rFonts w:eastAsia="標楷體" w:cstheme="minorHAnsi" w:hint="eastAsia"/>
          <w:color w:val="auto"/>
          <w:spacing w:val="0"/>
          <w:sz w:val="18"/>
          <w:lang w:eastAsia="zh-TW"/>
        </w:rPr>
        <w:t>承銷</w:t>
      </w:r>
      <w:r w:rsidR="000765DD" w:rsidRPr="00596D87">
        <w:rPr>
          <w:rStyle w:val="BookTitle"/>
          <w:rFonts w:ascii="標楷體" w:eastAsia="標楷體" w:hAnsi="標楷體"/>
          <w:bCs w:val="0"/>
          <w:color w:val="auto"/>
          <w:spacing w:val="0"/>
          <w:sz w:val="18"/>
          <w:lang w:eastAsia="zh-TW"/>
        </w:rPr>
        <w:t>「</w:t>
      </w:r>
      <w:bookmarkStart w:id="0" w:name="_Hlk20332294"/>
      <w:r w:rsidR="00E1064B" w:rsidRPr="00E1064B">
        <w:rPr>
          <w:rFonts w:ascii="Arial" w:eastAsia="微軟正黑體" w:hAnsi="Arial" w:cs="Times New Roman"/>
          <w:bCs/>
          <w:iCs/>
          <w:color w:val="161718"/>
          <w:sz w:val="18"/>
          <w:szCs w:val="18"/>
        </w:rPr>
        <w:t xml:space="preserve">Central American Bank for Economic Integration U.S.$ 375,000,000 Floating Rate Notes due 2024 (Green </w:t>
      </w:r>
      <w:proofErr w:type="gramStart"/>
      <w:r w:rsidR="00E1064B" w:rsidRPr="00E1064B">
        <w:rPr>
          <w:rFonts w:ascii="Arial" w:eastAsia="微軟正黑體" w:hAnsi="Arial" w:cs="Times New Roman"/>
          <w:bCs/>
          <w:iCs/>
          <w:color w:val="161718"/>
          <w:sz w:val="18"/>
          <w:szCs w:val="18"/>
        </w:rPr>
        <w:t>Bonds)</w:t>
      </w:r>
      <w:bookmarkEnd w:id="0"/>
      <w:r w:rsidR="000765DD" w:rsidRPr="00596D87">
        <w:rPr>
          <w:rStyle w:val="BookTitle"/>
          <w:rFonts w:ascii="標楷體" w:eastAsia="標楷體" w:hAnsi="標楷體"/>
          <w:bCs w:val="0"/>
          <w:color w:val="auto"/>
          <w:spacing w:val="0"/>
          <w:sz w:val="18"/>
          <w:lang w:eastAsia="zh-TW"/>
        </w:rPr>
        <w:t>」</w:t>
      </w:r>
      <w:proofErr w:type="gramEnd"/>
      <w:r w:rsidRPr="000765DD">
        <w:rPr>
          <w:rStyle w:val="BookTitle"/>
          <w:rFonts w:ascii="標楷體" w:eastAsia="標楷體" w:hAnsi="標楷體" w:hint="eastAsia"/>
          <w:color w:val="auto"/>
          <w:spacing w:val="0"/>
          <w:sz w:val="18"/>
          <w:lang w:eastAsia="zh-TW"/>
        </w:rPr>
        <w:t>之</w:t>
      </w:r>
      <w:r w:rsidR="00740DB4">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國際債券</w:t>
      </w:r>
      <w:r w:rsidRPr="000765DD">
        <w:rPr>
          <w:rStyle w:val="BookTitle"/>
          <w:rFonts w:ascii="標楷體" w:eastAsia="標楷體" w:hAnsi="標楷體" w:hint="eastAsia"/>
          <w:color w:val="auto"/>
          <w:spacing w:val="0"/>
          <w:sz w:val="18"/>
          <w:lang w:eastAsia="zh-TW"/>
        </w:rPr>
        <w:t>公告</w:t>
      </w:r>
    </w:p>
    <w:p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F02640" w:rsidRPr="00E1064B">
        <w:rPr>
          <w:rFonts w:ascii="Arial" w:eastAsia="微軟正黑體" w:hAnsi="Arial" w:cs="Times New Roman"/>
          <w:bCs/>
          <w:iCs/>
          <w:color w:val="161718"/>
          <w:sz w:val="18"/>
          <w:szCs w:val="18"/>
        </w:rPr>
        <w:t xml:space="preserve">Central American Bank for Economic Integration U.S.$ 375,000,000 Floating Rate Notes due 2024 (Green </w:t>
      </w:r>
      <w:proofErr w:type="gramStart"/>
      <w:r w:rsidR="00F02640" w:rsidRPr="00E1064B">
        <w:rPr>
          <w:rFonts w:ascii="Arial" w:eastAsia="微軟正黑體" w:hAnsi="Arial" w:cs="Times New Roman"/>
          <w:bCs/>
          <w:iCs/>
          <w:color w:val="161718"/>
          <w:sz w:val="18"/>
          <w:szCs w:val="18"/>
        </w:rPr>
        <w:t>Bonds)</w:t>
      </w:r>
      <w:r w:rsidR="000765DD" w:rsidRPr="000765DD">
        <w:rPr>
          <w:rStyle w:val="BookTitle"/>
          <w:rFonts w:eastAsia="標楷體" w:cstheme="minorHAnsi"/>
          <w:color w:val="auto"/>
          <w:spacing w:val="0"/>
          <w:sz w:val="18"/>
          <w:lang w:eastAsia="zh-TW"/>
        </w:rPr>
        <w:t>」</w:t>
      </w:r>
      <w:proofErr w:type="gramEnd"/>
      <w:r w:rsidRPr="000765DD">
        <w:rPr>
          <w:rStyle w:val="BookTitle"/>
          <w:rFonts w:ascii="標楷體" w:eastAsia="標楷體" w:hAnsi="標楷體" w:hint="eastAsia"/>
          <w:color w:val="auto"/>
          <w:spacing w:val="0"/>
          <w:sz w:val="18"/>
          <w:lang w:eastAsia="zh-TW"/>
        </w:rPr>
        <w:t>之</w:t>
      </w:r>
      <w:r w:rsidR="00740DB4">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740DB4">
        <w:rPr>
          <w:rStyle w:val="BookTitle"/>
          <w:rFonts w:ascii="標楷體" w:eastAsia="標楷體" w:hAnsi="標楷體" w:hint="eastAsia"/>
          <w:color w:val="auto"/>
          <w:spacing w:val="0"/>
          <w:sz w:val="18"/>
          <w:lang w:eastAsia="zh-TW"/>
        </w:rPr>
        <w:t>美金</w:t>
      </w:r>
      <w:r w:rsidR="00F02640">
        <w:rPr>
          <w:rStyle w:val="BookTitle"/>
          <w:rFonts w:ascii="標楷體" w:eastAsia="標楷體" w:hAnsi="標楷體" w:hint="eastAsia"/>
          <w:color w:val="auto"/>
          <w:spacing w:val="0"/>
          <w:sz w:val="18"/>
          <w:lang w:eastAsia="zh-TW"/>
        </w:rPr>
        <w:t>375</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740DB4">
        <w:rPr>
          <w:rStyle w:val="BookTitle"/>
          <w:rFonts w:ascii="標楷體" w:eastAsia="標楷體" w:hAnsi="標楷體" w:hint="eastAsia"/>
          <w:color w:val="auto"/>
          <w:spacing w:val="0"/>
          <w:sz w:val="18"/>
          <w:lang w:eastAsia="zh-TW"/>
        </w:rPr>
        <w:t>美金</w:t>
      </w:r>
      <w:r w:rsidR="00F02640">
        <w:rPr>
          <w:rStyle w:val="BookTitle"/>
          <w:rFonts w:ascii="標楷體" w:eastAsia="標楷體" w:hAnsi="標楷體" w:hint="eastAsia"/>
          <w:color w:val="auto"/>
          <w:spacing w:val="0"/>
          <w:sz w:val="18"/>
          <w:lang w:eastAsia="zh-TW"/>
        </w:rPr>
        <w:t>375</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rsidTr="00C039FB">
        <w:tc>
          <w:tcPr>
            <w:tcW w:w="3063"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646"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渣打國際商業銀行股份有限公司</w:t>
            </w:r>
          </w:p>
        </w:tc>
        <w:tc>
          <w:tcPr>
            <w:tcW w:w="4646" w:type="dxa"/>
          </w:tcPr>
          <w:p w:rsidR="000312BD" w:rsidRPr="000765DD" w:rsidRDefault="000312BD" w:rsidP="000312B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rsidR="000312BD" w:rsidRPr="00044498" w:rsidRDefault="00740DB4" w:rsidP="000312B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美金</w:t>
            </w:r>
            <w:r w:rsidR="000312BD" w:rsidRPr="00044498">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237</w:t>
            </w:r>
            <w:r w:rsidR="000312BD" w:rsidRPr="00044498">
              <w:rPr>
                <w:rStyle w:val="BookTitle"/>
                <w:rFonts w:ascii="標楷體" w:eastAsia="標楷體" w:hAnsi="標楷體" w:hint="eastAsia"/>
                <w:color w:val="auto"/>
                <w:spacing w:val="0"/>
                <w:sz w:val="18"/>
                <w:szCs w:val="20"/>
                <w:lang w:eastAsia="zh-TW"/>
              </w:rPr>
              <w:t>,</w:t>
            </w:r>
            <w:r w:rsidR="000312BD">
              <w:rPr>
                <w:rStyle w:val="BookTitle"/>
                <w:rFonts w:ascii="標楷體" w:eastAsia="標楷體" w:hAnsi="標楷體"/>
                <w:color w:val="auto"/>
                <w:spacing w:val="0"/>
                <w:sz w:val="18"/>
                <w:szCs w:val="20"/>
                <w:lang w:eastAsia="zh-TW"/>
              </w:rPr>
              <w:t>0</w:t>
            </w:r>
            <w:r w:rsidR="000312BD" w:rsidRPr="00044498">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F02640" w:rsidRDefault="00F02640" w:rsidP="000312BD">
            <w:pPr>
              <w:snapToGrid w:val="0"/>
              <w:rPr>
                <w:rStyle w:val="BookTitle"/>
                <w:rFonts w:ascii="標楷體" w:eastAsia="標楷體" w:hAnsi="標楷體"/>
                <w:color w:val="auto"/>
                <w:spacing w:val="0"/>
                <w:sz w:val="18"/>
                <w:szCs w:val="18"/>
                <w:lang w:val="en-US" w:eastAsia="zh-TW"/>
              </w:rPr>
            </w:pPr>
            <w:bookmarkStart w:id="1" w:name="_Hlk23950333"/>
            <w:r w:rsidRPr="000D1AFA">
              <w:rPr>
                <w:rStyle w:val="BookTitle"/>
                <w:rFonts w:ascii="標楷體" w:eastAsia="標楷體" w:hAnsi="標楷體" w:hint="eastAsia"/>
                <w:color w:val="auto"/>
                <w:spacing w:val="0"/>
                <w:sz w:val="18"/>
                <w:szCs w:val="20"/>
                <w:lang w:eastAsia="zh-TW"/>
              </w:rPr>
              <w:t>法商東方匯理銀行股份有限公司台北分公司</w:t>
            </w:r>
            <w:bookmarkEnd w:id="1"/>
          </w:p>
        </w:tc>
        <w:tc>
          <w:tcPr>
            <w:tcW w:w="4646" w:type="dxa"/>
          </w:tcPr>
          <w:p w:rsidR="000312BD" w:rsidRDefault="00936A12" w:rsidP="000312BD">
            <w:pPr>
              <w:rPr>
                <w:rStyle w:val="BookTitle"/>
                <w:rFonts w:ascii="標楷體" w:eastAsia="標楷體" w:hAnsi="標楷體"/>
                <w:color w:val="auto"/>
                <w:spacing w:val="0"/>
                <w:sz w:val="18"/>
                <w:szCs w:val="20"/>
                <w:lang w:eastAsia="zh-TW"/>
              </w:rPr>
            </w:pPr>
            <w:r w:rsidRPr="00F830EE">
              <w:rPr>
                <w:rStyle w:val="BookTitle"/>
                <w:rFonts w:ascii="標楷體" w:eastAsia="標楷體" w:hAnsi="標楷體" w:hint="eastAsia"/>
                <w:color w:val="auto"/>
                <w:spacing w:val="0"/>
                <w:sz w:val="18"/>
                <w:szCs w:val="20"/>
                <w:lang w:eastAsia="zh-TW"/>
              </w:rPr>
              <w:t>台北市敦化北路</w:t>
            </w:r>
            <w:r w:rsidRPr="00F830EE">
              <w:rPr>
                <w:rStyle w:val="BookTitle"/>
                <w:rFonts w:ascii="標楷體" w:eastAsia="標楷體" w:hAnsi="標楷體"/>
                <w:color w:val="auto"/>
                <w:spacing w:val="0"/>
                <w:sz w:val="18"/>
                <w:szCs w:val="20"/>
                <w:lang w:eastAsia="zh-TW"/>
              </w:rPr>
              <w:t>167</w:t>
            </w:r>
            <w:r w:rsidRPr="00F830EE">
              <w:rPr>
                <w:rStyle w:val="BookTitle"/>
                <w:rFonts w:ascii="標楷體" w:eastAsia="標楷體" w:hAnsi="標楷體" w:hint="eastAsia"/>
                <w:color w:val="auto"/>
                <w:spacing w:val="0"/>
                <w:sz w:val="18"/>
                <w:szCs w:val="20"/>
                <w:lang w:eastAsia="zh-TW"/>
              </w:rPr>
              <w:t>號</w:t>
            </w:r>
            <w:r w:rsidRPr="00F830EE">
              <w:rPr>
                <w:rStyle w:val="BookTitle"/>
                <w:rFonts w:ascii="標楷體" w:eastAsia="標楷體" w:hAnsi="標楷體"/>
                <w:color w:val="auto"/>
                <w:spacing w:val="0"/>
                <w:sz w:val="18"/>
                <w:szCs w:val="20"/>
                <w:lang w:eastAsia="zh-TW"/>
              </w:rPr>
              <w:t>16</w:t>
            </w:r>
            <w:r w:rsidRPr="00F830EE">
              <w:rPr>
                <w:rStyle w:val="BookTitle"/>
                <w:rFonts w:ascii="標楷體" w:eastAsia="標楷體" w:hAnsi="標楷體" w:hint="eastAsia"/>
                <w:color w:val="auto"/>
                <w:spacing w:val="0"/>
                <w:sz w:val="18"/>
                <w:szCs w:val="20"/>
                <w:lang w:eastAsia="zh-TW"/>
              </w:rPr>
              <w:t>樓</w:t>
            </w:r>
          </w:p>
        </w:tc>
        <w:tc>
          <w:tcPr>
            <w:tcW w:w="2747" w:type="dxa"/>
          </w:tcPr>
          <w:p w:rsidR="000312BD" w:rsidRDefault="00740DB4" w:rsidP="000312BD">
            <w:r>
              <w:rPr>
                <w:rStyle w:val="BookTitle"/>
                <w:rFonts w:ascii="標楷體" w:eastAsia="標楷體" w:hAnsi="標楷體" w:hint="eastAsia"/>
                <w:color w:val="auto"/>
                <w:spacing w:val="0"/>
                <w:sz w:val="18"/>
                <w:szCs w:val="20"/>
                <w:lang w:eastAsia="zh-TW"/>
              </w:rPr>
              <w:t>美金</w:t>
            </w:r>
            <w:r w:rsidR="000312BD" w:rsidRPr="00562463">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5</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F02640" w:rsidRPr="000765DD" w:rsidTr="005D086B">
        <w:trPr>
          <w:trHeight w:val="158"/>
        </w:trPr>
        <w:tc>
          <w:tcPr>
            <w:tcW w:w="3063" w:type="dxa"/>
          </w:tcPr>
          <w:p w:rsidR="00F02640" w:rsidRPr="000312BD" w:rsidRDefault="00F02640" w:rsidP="00F02640">
            <w:pPr>
              <w:snapToGrid w:val="0"/>
              <w:rPr>
                <w:rStyle w:val="BookTitle"/>
                <w:rFonts w:ascii="標楷體" w:eastAsia="標楷體" w:hAnsi="標楷體"/>
                <w:color w:val="auto"/>
                <w:spacing w:val="0"/>
                <w:sz w:val="18"/>
                <w:szCs w:val="20"/>
                <w:lang w:eastAsia="zh-TW"/>
              </w:rPr>
            </w:pPr>
            <w:bookmarkStart w:id="2" w:name="_Hlk20920207"/>
            <w:r w:rsidRPr="000312BD">
              <w:rPr>
                <w:rStyle w:val="BookTitle"/>
                <w:rFonts w:ascii="標楷體" w:eastAsia="標楷體" w:hAnsi="標楷體"/>
                <w:color w:val="auto"/>
                <w:spacing w:val="0"/>
                <w:sz w:val="18"/>
                <w:szCs w:val="20"/>
                <w:lang w:eastAsia="zh-TW"/>
              </w:rPr>
              <w:t>中國信託商業銀行股份有限公司</w:t>
            </w:r>
            <w:bookmarkEnd w:id="2"/>
          </w:p>
        </w:tc>
        <w:tc>
          <w:tcPr>
            <w:tcW w:w="4646" w:type="dxa"/>
          </w:tcPr>
          <w:p w:rsidR="00F02640" w:rsidRDefault="00F02640" w:rsidP="00F02640">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台北市南港區經貿二路</w:t>
            </w:r>
            <w:r w:rsidRPr="00A12AE8">
              <w:rPr>
                <w:rStyle w:val="BookTitle"/>
                <w:rFonts w:ascii="標楷體" w:eastAsia="標楷體" w:hAnsi="標楷體"/>
                <w:color w:val="auto"/>
                <w:spacing w:val="0"/>
                <w:sz w:val="18"/>
                <w:szCs w:val="20"/>
                <w:lang w:eastAsia="zh-TW"/>
              </w:rPr>
              <w:t>168</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5</w:t>
            </w:r>
            <w:r w:rsidRPr="00A12AE8">
              <w:rPr>
                <w:rStyle w:val="BookTitle"/>
                <w:rFonts w:ascii="標楷體" w:eastAsia="標楷體" w:hAnsi="標楷體" w:hint="eastAsia"/>
                <w:color w:val="auto"/>
                <w:spacing w:val="0"/>
                <w:sz w:val="18"/>
                <w:szCs w:val="20"/>
                <w:lang w:eastAsia="zh-TW"/>
              </w:rPr>
              <w:t>樓</w:t>
            </w:r>
          </w:p>
        </w:tc>
        <w:tc>
          <w:tcPr>
            <w:tcW w:w="2747" w:type="dxa"/>
          </w:tcPr>
          <w:p w:rsidR="00F02640" w:rsidRDefault="00F02640" w:rsidP="00F02640">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27</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F02640" w:rsidRPr="000765DD" w:rsidTr="005D086B">
        <w:trPr>
          <w:trHeight w:val="158"/>
        </w:trPr>
        <w:tc>
          <w:tcPr>
            <w:tcW w:w="3063" w:type="dxa"/>
          </w:tcPr>
          <w:p w:rsidR="00F02640" w:rsidRPr="000312BD" w:rsidRDefault="00F02640" w:rsidP="00F02640">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永豐金證券股份有限公司</w:t>
            </w:r>
          </w:p>
        </w:tc>
        <w:tc>
          <w:tcPr>
            <w:tcW w:w="4646" w:type="dxa"/>
          </w:tcPr>
          <w:p w:rsidR="00F02640" w:rsidRDefault="00F02640" w:rsidP="00F02640">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台北市中正區博愛路17號 5樓</w:t>
            </w:r>
          </w:p>
        </w:tc>
        <w:tc>
          <w:tcPr>
            <w:tcW w:w="2747" w:type="dxa"/>
          </w:tcPr>
          <w:p w:rsidR="00F02640" w:rsidRDefault="00F02640" w:rsidP="00F02640">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25</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F02640" w:rsidRPr="000765DD" w:rsidTr="005D086B">
        <w:trPr>
          <w:trHeight w:val="158"/>
        </w:trPr>
        <w:tc>
          <w:tcPr>
            <w:tcW w:w="3063" w:type="dxa"/>
          </w:tcPr>
          <w:p w:rsidR="00F02640" w:rsidRPr="0050168F" w:rsidRDefault="00F02640" w:rsidP="00F02640">
            <w:pPr>
              <w:snapToGrid w:val="0"/>
              <w:rPr>
                <w:rStyle w:val="BookTitle"/>
                <w:rFonts w:ascii="標楷體" w:eastAsia="標楷體" w:hAnsi="標楷體"/>
                <w:color w:val="auto"/>
                <w:spacing w:val="0"/>
                <w:sz w:val="18"/>
                <w:szCs w:val="20"/>
                <w:lang w:eastAsia="zh-TW"/>
              </w:rPr>
            </w:pPr>
            <w:bookmarkStart w:id="3" w:name="_Hlk21015735"/>
            <w:r w:rsidRPr="0050168F">
              <w:rPr>
                <w:rStyle w:val="BookTitle"/>
                <w:rFonts w:ascii="標楷體" w:eastAsia="標楷體" w:hAnsi="標楷體" w:hint="eastAsia"/>
                <w:color w:val="auto"/>
                <w:spacing w:val="0"/>
                <w:sz w:val="18"/>
                <w:szCs w:val="20"/>
                <w:lang w:eastAsia="zh-TW"/>
              </w:rPr>
              <w:t>玉山商業銀行股份有限公司</w:t>
            </w:r>
            <w:bookmarkEnd w:id="3"/>
          </w:p>
        </w:tc>
        <w:tc>
          <w:tcPr>
            <w:tcW w:w="4646" w:type="dxa"/>
          </w:tcPr>
          <w:p w:rsidR="00F02640" w:rsidRPr="00A12AE8" w:rsidRDefault="00F02640" w:rsidP="00F02640">
            <w:pPr>
              <w:rPr>
                <w:rStyle w:val="BookTitle"/>
                <w:rFonts w:ascii="標楷體" w:eastAsia="標楷體" w:hAnsi="標楷體"/>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台北巿民生東路三段</w:t>
            </w:r>
            <w:r w:rsidRPr="00740DB4">
              <w:rPr>
                <w:rStyle w:val="BookTitle"/>
                <w:rFonts w:ascii="標楷體" w:eastAsia="標楷體" w:hAnsi="標楷體"/>
                <w:color w:val="auto"/>
                <w:spacing w:val="0"/>
                <w:sz w:val="18"/>
                <w:szCs w:val="20"/>
                <w:lang w:eastAsia="zh-TW"/>
              </w:rPr>
              <w:t>117</w:t>
            </w:r>
            <w:r w:rsidRPr="00740DB4">
              <w:rPr>
                <w:rStyle w:val="BookTitle"/>
                <w:rFonts w:ascii="標楷體" w:eastAsia="標楷體" w:hAnsi="標楷體" w:hint="eastAsia"/>
                <w:color w:val="auto"/>
                <w:spacing w:val="0"/>
                <w:sz w:val="18"/>
                <w:szCs w:val="20"/>
                <w:lang w:eastAsia="zh-TW"/>
              </w:rPr>
              <w:t>號</w:t>
            </w:r>
            <w:r w:rsidRPr="00740DB4">
              <w:rPr>
                <w:rStyle w:val="BookTitle"/>
                <w:rFonts w:ascii="標楷體" w:eastAsia="標楷體" w:hAnsi="標楷體"/>
                <w:color w:val="auto"/>
                <w:spacing w:val="0"/>
                <w:sz w:val="18"/>
                <w:szCs w:val="20"/>
                <w:lang w:eastAsia="zh-TW"/>
              </w:rPr>
              <w:t>3</w:t>
            </w:r>
            <w:r w:rsidRPr="00740DB4">
              <w:rPr>
                <w:rStyle w:val="BookTitle"/>
                <w:rFonts w:ascii="標楷體" w:eastAsia="標楷體" w:hAnsi="標楷體" w:hint="eastAsia"/>
                <w:color w:val="auto"/>
                <w:spacing w:val="0"/>
                <w:sz w:val="18"/>
                <w:szCs w:val="20"/>
                <w:lang w:eastAsia="zh-TW"/>
              </w:rPr>
              <w:t>樓</w:t>
            </w:r>
          </w:p>
        </w:tc>
        <w:tc>
          <w:tcPr>
            <w:tcW w:w="2747" w:type="dxa"/>
          </w:tcPr>
          <w:p w:rsidR="00F02640" w:rsidRDefault="00F02640" w:rsidP="00F02640">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16</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F02640" w:rsidRPr="000765DD" w:rsidTr="005D086B">
        <w:trPr>
          <w:trHeight w:val="158"/>
        </w:trPr>
        <w:tc>
          <w:tcPr>
            <w:tcW w:w="3063" w:type="dxa"/>
          </w:tcPr>
          <w:p w:rsidR="00F02640" w:rsidRPr="000312BD" w:rsidRDefault="00F02640" w:rsidP="00F02640">
            <w:pPr>
              <w:snapToGrid w:val="0"/>
              <w:rPr>
                <w:rStyle w:val="BookTitle"/>
                <w:rFonts w:ascii="標楷體" w:eastAsia="標楷體" w:hAnsi="標楷體"/>
                <w:color w:val="auto"/>
                <w:spacing w:val="0"/>
                <w:sz w:val="18"/>
                <w:szCs w:val="20"/>
                <w:lang w:eastAsia="zh-TW"/>
              </w:rPr>
            </w:pPr>
            <w:proofErr w:type="gramStart"/>
            <w:r w:rsidRPr="0050168F">
              <w:rPr>
                <w:rStyle w:val="BookTitle"/>
                <w:rFonts w:ascii="標楷體" w:eastAsia="標楷體" w:hAnsi="標楷體"/>
                <w:color w:val="auto"/>
                <w:spacing w:val="0"/>
                <w:sz w:val="18"/>
                <w:szCs w:val="20"/>
                <w:lang w:eastAsia="zh-TW"/>
              </w:rPr>
              <w:t>凱</w:t>
            </w:r>
            <w:proofErr w:type="gramEnd"/>
            <w:r w:rsidRPr="0050168F">
              <w:rPr>
                <w:rStyle w:val="BookTitle"/>
                <w:rFonts w:ascii="標楷體" w:eastAsia="標楷體" w:hAnsi="標楷體"/>
                <w:color w:val="auto"/>
                <w:spacing w:val="0"/>
                <w:sz w:val="18"/>
                <w:szCs w:val="20"/>
                <w:lang w:eastAsia="zh-TW"/>
              </w:rPr>
              <w:t>基證券股份有限公司</w:t>
            </w:r>
          </w:p>
        </w:tc>
        <w:tc>
          <w:tcPr>
            <w:tcW w:w="4646" w:type="dxa"/>
          </w:tcPr>
          <w:p w:rsidR="00F02640" w:rsidRPr="00A12AE8" w:rsidRDefault="00F02640" w:rsidP="00F02640">
            <w:pPr>
              <w:rPr>
                <w:rStyle w:val="BookTitle"/>
                <w:rFonts w:ascii="標楷體" w:eastAsia="標楷體" w:hAnsi="標楷體"/>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台北市中山區明水路</w:t>
            </w:r>
            <w:r w:rsidRPr="00740DB4">
              <w:rPr>
                <w:rStyle w:val="BookTitle"/>
                <w:rFonts w:ascii="標楷體" w:eastAsia="標楷體" w:hAnsi="標楷體"/>
                <w:color w:val="auto"/>
                <w:spacing w:val="0"/>
                <w:sz w:val="18"/>
                <w:szCs w:val="20"/>
                <w:lang w:eastAsia="zh-TW"/>
              </w:rPr>
              <w:t>700</w:t>
            </w:r>
            <w:r w:rsidRPr="00740DB4">
              <w:rPr>
                <w:rStyle w:val="BookTitle"/>
                <w:rFonts w:ascii="標楷體" w:eastAsia="標楷體" w:hAnsi="標楷體" w:hint="eastAsia"/>
                <w:color w:val="auto"/>
                <w:spacing w:val="0"/>
                <w:sz w:val="18"/>
                <w:szCs w:val="20"/>
                <w:lang w:eastAsia="zh-TW"/>
              </w:rPr>
              <w:t>號</w:t>
            </w:r>
            <w:r w:rsidRPr="00740DB4">
              <w:rPr>
                <w:rStyle w:val="BookTitle"/>
                <w:rFonts w:ascii="標楷體" w:eastAsia="標楷體" w:hAnsi="標楷體"/>
                <w:color w:val="auto"/>
                <w:spacing w:val="0"/>
                <w:sz w:val="18"/>
                <w:szCs w:val="20"/>
                <w:lang w:eastAsia="zh-TW"/>
              </w:rPr>
              <w:t>3</w:t>
            </w:r>
            <w:r w:rsidRPr="00740DB4">
              <w:rPr>
                <w:rStyle w:val="BookTitle"/>
                <w:rFonts w:ascii="標楷體" w:eastAsia="標楷體" w:hAnsi="標楷體" w:hint="eastAsia"/>
                <w:color w:val="auto"/>
                <w:spacing w:val="0"/>
                <w:sz w:val="18"/>
                <w:szCs w:val="20"/>
                <w:lang w:eastAsia="zh-TW"/>
              </w:rPr>
              <w:t>樓</w:t>
            </w:r>
            <w:r w:rsidRPr="00740DB4">
              <w:rPr>
                <w:rStyle w:val="BookTitle"/>
                <w:rFonts w:ascii="標楷體" w:eastAsia="標楷體" w:hAnsi="標楷體"/>
                <w:color w:val="auto"/>
                <w:spacing w:val="0"/>
                <w:sz w:val="18"/>
                <w:szCs w:val="20"/>
                <w:lang w:eastAsia="zh-TW"/>
              </w:rPr>
              <w:t xml:space="preserve">    </w:t>
            </w:r>
          </w:p>
        </w:tc>
        <w:tc>
          <w:tcPr>
            <w:tcW w:w="2747" w:type="dxa"/>
          </w:tcPr>
          <w:p w:rsidR="00F02640" w:rsidRDefault="00F02640" w:rsidP="00F02640">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12</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1D6BA5" w:rsidRPr="000765DD" w:rsidTr="005D086B">
        <w:trPr>
          <w:trHeight w:val="158"/>
        </w:trPr>
        <w:tc>
          <w:tcPr>
            <w:tcW w:w="3063" w:type="dxa"/>
          </w:tcPr>
          <w:p w:rsidR="001D6BA5" w:rsidRPr="0093656D" w:rsidRDefault="001D6BA5" w:rsidP="001D6BA5">
            <w:pPr>
              <w:snapToGrid w:val="0"/>
              <w:rPr>
                <w:rStyle w:val="BookTitle"/>
                <w:rFonts w:ascii="標楷體" w:eastAsia="標楷體" w:hAnsi="標楷體"/>
                <w:color w:val="auto"/>
                <w:spacing w:val="0"/>
                <w:sz w:val="18"/>
                <w:szCs w:val="20"/>
                <w:lang w:val="en-US" w:eastAsia="zh-TW"/>
              </w:rPr>
            </w:pPr>
            <w:r w:rsidRPr="000312BD">
              <w:rPr>
                <w:rStyle w:val="BookTitle"/>
                <w:rFonts w:ascii="標楷體" w:eastAsia="標楷體" w:hAnsi="標楷體" w:hint="eastAsia"/>
                <w:color w:val="auto"/>
                <w:spacing w:val="0"/>
                <w:sz w:val="18"/>
                <w:szCs w:val="20"/>
                <w:lang w:eastAsia="zh-TW"/>
              </w:rPr>
              <w:t>國泰</w:t>
            </w:r>
            <w:proofErr w:type="gramStart"/>
            <w:r w:rsidRPr="000312BD">
              <w:rPr>
                <w:rStyle w:val="BookTitle"/>
                <w:rFonts w:ascii="標楷體" w:eastAsia="標楷體" w:hAnsi="標楷體" w:hint="eastAsia"/>
                <w:color w:val="auto"/>
                <w:spacing w:val="0"/>
                <w:sz w:val="18"/>
                <w:szCs w:val="20"/>
                <w:lang w:eastAsia="zh-TW"/>
              </w:rPr>
              <w:t>世</w:t>
            </w:r>
            <w:proofErr w:type="gramEnd"/>
            <w:r w:rsidRPr="000312BD">
              <w:rPr>
                <w:rStyle w:val="BookTitle"/>
                <w:rFonts w:ascii="標楷體" w:eastAsia="標楷體" w:hAnsi="標楷體" w:hint="eastAsia"/>
                <w:color w:val="auto"/>
                <w:spacing w:val="0"/>
                <w:sz w:val="18"/>
                <w:szCs w:val="20"/>
                <w:lang w:eastAsia="zh-TW"/>
              </w:rPr>
              <w:t>華商業銀行股份有限公司</w:t>
            </w:r>
          </w:p>
        </w:tc>
        <w:tc>
          <w:tcPr>
            <w:tcW w:w="4646" w:type="dxa"/>
          </w:tcPr>
          <w:p w:rsidR="001D6BA5" w:rsidRDefault="001D6BA5" w:rsidP="001D6BA5">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台北市信義區松仁路</w:t>
            </w:r>
            <w:r w:rsidRPr="00A12AE8">
              <w:rPr>
                <w:rStyle w:val="BookTitle"/>
                <w:rFonts w:ascii="標楷體" w:eastAsia="標楷體" w:hAnsi="標楷體"/>
                <w:color w:val="auto"/>
                <w:spacing w:val="0"/>
                <w:sz w:val="18"/>
                <w:szCs w:val="20"/>
                <w:lang w:eastAsia="zh-TW"/>
              </w:rPr>
              <w:t>7</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2</w:t>
            </w:r>
            <w:r w:rsidRPr="00A12AE8">
              <w:rPr>
                <w:rStyle w:val="BookTitle"/>
                <w:rFonts w:ascii="標楷體" w:eastAsia="標楷體" w:hAnsi="標楷體" w:hint="eastAsia"/>
                <w:color w:val="auto"/>
                <w:spacing w:val="0"/>
                <w:sz w:val="18"/>
                <w:szCs w:val="20"/>
                <w:lang w:eastAsia="zh-TW"/>
              </w:rPr>
              <w:t>樓</w:t>
            </w:r>
          </w:p>
        </w:tc>
        <w:tc>
          <w:tcPr>
            <w:tcW w:w="2747" w:type="dxa"/>
          </w:tcPr>
          <w:p w:rsidR="001D6BA5" w:rsidRDefault="001D6BA5" w:rsidP="001D6BA5">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12</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1D6BA5" w:rsidRPr="000765DD" w:rsidTr="005D086B">
        <w:trPr>
          <w:trHeight w:val="158"/>
        </w:trPr>
        <w:tc>
          <w:tcPr>
            <w:tcW w:w="3063" w:type="dxa"/>
          </w:tcPr>
          <w:p w:rsidR="001D6BA5" w:rsidRPr="007F28D2" w:rsidRDefault="001D6BA5" w:rsidP="001D6BA5">
            <w:pPr>
              <w:rPr>
                <w:rStyle w:val="BookTitle"/>
                <w:rFonts w:ascii="標楷體" w:eastAsia="標楷體" w:hAnsi="標楷體"/>
                <w:color w:val="auto"/>
                <w:spacing w:val="0"/>
                <w:sz w:val="18"/>
                <w:szCs w:val="20"/>
                <w:lang w:eastAsia="zh-TW"/>
              </w:rPr>
            </w:pPr>
            <w:r w:rsidRPr="007F28D2">
              <w:rPr>
                <w:rStyle w:val="BookTitle"/>
                <w:rFonts w:ascii="標楷體" w:eastAsia="標楷體" w:hAnsi="標楷體" w:hint="eastAsia"/>
                <w:color w:val="auto"/>
                <w:spacing w:val="0"/>
                <w:sz w:val="18"/>
                <w:szCs w:val="20"/>
                <w:lang w:eastAsia="zh-TW"/>
              </w:rPr>
              <w:t>元大證券股份有限公司</w:t>
            </w:r>
          </w:p>
        </w:tc>
        <w:tc>
          <w:tcPr>
            <w:tcW w:w="4646" w:type="dxa"/>
          </w:tcPr>
          <w:p w:rsidR="001D6BA5" w:rsidRPr="001D4BD6" w:rsidRDefault="001D6BA5" w:rsidP="001D6BA5">
            <w:pPr>
              <w:rPr>
                <w:rStyle w:val="BookTitle"/>
                <w:rFonts w:ascii="標楷體" w:eastAsia="標楷體" w:hAnsi="標楷體"/>
                <w:color w:val="auto"/>
                <w:spacing w:val="0"/>
                <w:sz w:val="18"/>
                <w:szCs w:val="20"/>
                <w:lang w:eastAsia="zh-TW"/>
              </w:rPr>
            </w:pPr>
            <w:r w:rsidRPr="00E60F25">
              <w:rPr>
                <w:rStyle w:val="BookTitle"/>
                <w:rFonts w:ascii="標楷體" w:eastAsia="標楷體" w:hAnsi="標楷體" w:hint="eastAsia"/>
                <w:color w:val="auto"/>
                <w:spacing w:val="0"/>
                <w:sz w:val="18"/>
                <w:szCs w:val="20"/>
                <w:lang w:eastAsia="zh-TW"/>
              </w:rPr>
              <w:t>台北市南京東路3段225號13、14樓</w:t>
            </w:r>
          </w:p>
        </w:tc>
        <w:tc>
          <w:tcPr>
            <w:tcW w:w="2747" w:type="dxa"/>
          </w:tcPr>
          <w:p w:rsidR="001D6BA5" w:rsidRDefault="001D6BA5" w:rsidP="001D6BA5">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1</w:t>
            </w:r>
            <w:r w:rsidR="000D1AFA">
              <w:rPr>
                <w:rStyle w:val="BookTitle"/>
                <w:rFonts w:ascii="標楷體" w:eastAsia="標楷體" w:hAnsi="標楷體" w:hint="eastAsia"/>
                <w:color w:val="auto"/>
                <w:spacing w:val="0"/>
                <w:sz w:val="18"/>
                <w:szCs w:val="20"/>
                <w:lang w:eastAsia="zh-TW"/>
              </w:rPr>
              <w:t>1</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1D6BA5" w:rsidRPr="000765DD" w:rsidTr="005D086B">
        <w:trPr>
          <w:trHeight w:val="158"/>
        </w:trPr>
        <w:tc>
          <w:tcPr>
            <w:tcW w:w="3063" w:type="dxa"/>
          </w:tcPr>
          <w:p w:rsidR="001D6BA5" w:rsidRPr="0050168F" w:rsidRDefault="001D6BA5" w:rsidP="001D6BA5">
            <w:pPr>
              <w:snapToGrid w:val="0"/>
              <w:rPr>
                <w:rStyle w:val="BookTitle"/>
                <w:rFonts w:ascii="標楷體" w:eastAsia="標楷體" w:hAnsi="標楷體"/>
                <w:color w:val="auto"/>
                <w:spacing w:val="0"/>
                <w:sz w:val="18"/>
                <w:szCs w:val="20"/>
                <w:lang w:eastAsia="zh-TW"/>
              </w:rPr>
            </w:pPr>
            <w:bookmarkStart w:id="4" w:name="_Hlk21015787"/>
            <w:r w:rsidRPr="0050168F">
              <w:rPr>
                <w:rStyle w:val="BookTitle"/>
                <w:rFonts w:ascii="標楷體" w:eastAsia="標楷體" w:hAnsi="標楷體"/>
                <w:color w:val="auto"/>
                <w:spacing w:val="0"/>
                <w:sz w:val="18"/>
                <w:szCs w:val="20"/>
                <w:lang w:eastAsia="zh-TW"/>
              </w:rPr>
              <w:t>富邦綜合證券股份有限公司</w:t>
            </w:r>
            <w:bookmarkEnd w:id="4"/>
          </w:p>
        </w:tc>
        <w:tc>
          <w:tcPr>
            <w:tcW w:w="4646" w:type="dxa"/>
          </w:tcPr>
          <w:p w:rsidR="001D6BA5" w:rsidRPr="00A12AE8" w:rsidRDefault="001D6BA5" w:rsidP="001D6BA5">
            <w:pPr>
              <w:rPr>
                <w:rStyle w:val="BookTitle"/>
                <w:rFonts w:ascii="標楷體" w:eastAsia="標楷體" w:hAnsi="標楷體"/>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臺北市大安區仁愛路四段</w:t>
            </w:r>
            <w:r w:rsidRPr="00740DB4">
              <w:rPr>
                <w:rStyle w:val="BookTitle"/>
                <w:rFonts w:ascii="標楷體" w:eastAsia="標楷體" w:hAnsi="標楷體"/>
                <w:color w:val="auto"/>
                <w:spacing w:val="0"/>
                <w:sz w:val="18"/>
                <w:szCs w:val="20"/>
                <w:lang w:eastAsia="zh-TW"/>
              </w:rPr>
              <w:t>169</w:t>
            </w:r>
            <w:r w:rsidRPr="00740DB4">
              <w:rPr>
                <w:rStyle w:val="BookTitle"/>
                <w:rFonts w:ascii="標楷體" w:eastAsia="標楷體" w:hAnsi="標楷體" w:hint="eastAsia"/>
                <w:color w:val="auto"/>
                <w:spacing w:val="0"/>
                <w:sz w:val="18"/>
                <w:szCs w:val="20"/>
                <w:lang w:eastAsia="zh-TW"/>
              </w:rPr>
              <w:t>號</w:t>
            </w:r>
            <w:r w:rsidRPr="00740DB4">
              <w:rPr>
                <w:rStyle w:val="BookTitle"/>
                <w:rFonts w:ascii="標楷體" w:eastAsia="標楷體" w:hAnsi="標楷體"/>
                <w:color w:val="auto"/>
                <w:spacing w:val="0"/>
                <w:sz w:val="18"/>
                <w:szCs w:val="20"/>
                <w:lang w:eastAsia="zh-TW"/>
              </w:rPr>
              <w:t>15</w:t>
            </w:r>
            <w:r w:rsidRPr="00740DB4">
              <w:rPr>
                <w:rStyle w:val="BookTitle"/>
                <w:rFonts w:ascii="標楷體" w:eastAsia="標楷體" w:hAnsi="標楷體" w:hint="eastAsia"/>
                <w:color w:val="auto"/>
                <w:spacing w:val="0"/>
                <w:sz w:val="18"/>
                <w:szCs w:val="20"/>
                <w:lang w:eastAsia="zh-TW"/>
              </w:rPr>
              <w:t>樓</w:t>
            </w:r>
            <w:r w:rsidRPr="00740DB4">
              <w:rPr>
                <w:rStyle w:val="BookTitle"/>
                <w:rFonts w:ascii="標楷體" w:eastAsia="標楷體" w:hAnsi="標楷體"/>
                <w:color w:val="auto"/>
                <w:spacing w:val="0"/>
                <w:sz w:val="18"/>
                <w:szCs w:val="20"/>
                <w:lang w:eastAsia="zh-TW"/>
              </w:rPr>
              <w:t>   </w:t>
            </w:r>
          </w:p>
        </w:tc>
        <w:tc>
          <w:tcPr>
            <w:tcW w:w="2747" w:type="dxa"/>
          </w:tcPr>
          <w:p w:rsidR="001D6BA5" w:rsidRDefault="001D6BA5" w:rsidP="001D6BA5">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8</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1D6BA5" w:rsidRPr="000765DD" w:rsidTr="005D086B">
        <w:trPr>
          <w:trHeight w:val="158"/>
        </w:trPr>
        <w:tc>
          <w:tcPr>
            <w:tcW w:w="3063" w:type="dxa"/>
          </w:tcPr>
          <w:p w:rsidR="001D6BA5" w:rsidRPr="007F28D2" w:rsidRDefault="001D6BA5" w:rsidP="001D6BA5">
            <w:pPr>
              <w:rPr>
                <w:rStyle w:val="BookTitle"/>
                <w:rFonts w:ascii="標楷體" w:eastAsia="標楷體" w:hAnsi="標楷體"/>
                <w:color w:val="auto"/>
                <w:spacing w:val="0"/>
                <w:sz w:val="18"/>
                <w:szCs w:val="20"/>
                <w:lang w:eastAsia="zh-TW"/>
              </w:rPr>
            </w:pPr>
            <w:proofErr w:type="gramStart"/>
            <w:r w:rsidRPr="007F28D2">
              <w:rPr>
                <w:rStyle w:val="BookTitle"/>
                <w:rFonts w:ascii="標楷體" w:eastAsia="標楷體" w:hAnsi="標楷體" w:hint="eastAsia"/>
                <w:color w:val="auto"/>
                <w:spacing w:val="0"/>
                <w:sz w:val="18"/>
                <w:szCs w:val="20"/>
                <w:lang w:eastAsia="zh-TW"/>
              </w:rPr>
              <w:t>群益金鼎</w:t>
            </w:r>
            <w:proofErr w:type="gramEnd"/>
            <w:r w:rsidRPr="007F28D2">
              <w:rPr>
                <w:rStyle w:val="BookTitle"/>
                <w:rFonts w:ascii="標楷體" w:eastAsia="標楷體" w:hAnsi="標楷體" w:hint="eastAsia"/>
                <w:color w:val="auto"/>
                <w:spacing w:val="0"/>
                <w:sz w:val="18"/>
                <w:szCs w:val="20"/>
                <w:lang w:eastAsia="zh-TW"/>
              </w:rPr>
              <w:t>證券股份有限公司</w:t>
            </w:r>
          </w:p>
        </w:tc>
        <w:tc>
          <w:tcPr>
            <w:tcW w:w="4646" w:type="dxa"/>
          </w:tcPr>
          <w:p w:rsidR="001D6BA5" w:rsidRPr="001D4BD6" w:rsidRDefault="001D6BA5" w:rsidP="001D6BA5">
            <w:pPr>
              <w:rPr>
                <w:rStyle w:val="BookTitle"/>
                <w:rFonts w:ascii="標楷體" w:eastAsia="標楷體" w:hAnsi="標楷體"/>
                <w:color w:val="auto"/>
                <w:spacing w:val="0"/>
                <w:sz w:val="18"/>
                <w:szCs w:val="20"/>
                <w:lang w:eastAsia="zh-TW"/>
              </w:rPr>
            </w:pPr>
            <w:r w:rsidRPr="00E60F25">
              <w:rPr>
                <w:rStyle w:val="BookTitle"/>
                <w:rFonts w:ascii="標楷體" w:eastAsia="標楷體" w:hAnsi="標楷體" w:hint="eastAsia"/>
                <w:color w:val="auto"/>
                <w:spacing w:val="0"/>
                <w:sz w:val="18"/>
                <w:szCs w:val="20"/>
                <w:lang w:eastAsia="zh-TW"/>
              </w:rPr>
              <w:t>台北市信義區松仁路101號15樓</w:t>
            </w:r>
          </w:p>
        </w:tc>
        <w:tc>
          <w:tcPr>
            <w:tcW w:w="2747" w:type="dxa"/>
          </w:tcPr>
          <w:p w:rsidR="001D6BA5" w:rsidRDefault="001D6BA5" w:rsidP="001D6BA5">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6</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A426E" w:rsidRPr="000765DD" w:rsidTr="005D086B">
        <w:trPr>
          <w:trHeight w:val="158"/>
        </w:trPr>
        <w:tc>
          <w:tcPr>
            <w:tcW w:w="3063" w:type="dxa"/>
          </w:tcPr>
          <w:p w:rsidR="002A426E" w:rsidRPr="000312BD" w:rsidRDefault="002A426E" w:rsidP="002A426E">
            <w:pPr>
              <w:snapToGrid w:val="0"/>
              <w:rPr>
                <w:rStyle w:val="BookTitle"/>
                <w:rFonts w:ascii="標楷體" w:eastAsia="標楷體" w:hAnsi="標楷體"/>
                <w:color w:val="auto"/>
                <w:spacing w:val="0"/>
                <w:sz w:val="18"/>
                <w:szCs w:val="20"/>
                <w:lang w:eastAsia="zh-TW"/>
              </w:rPr>
            </w:pPr>
            <w:bookmarkStart w:id="5" w:name="_Hlk20920309"/>
            <w:r w:rsidRPr="000312BD">
              <w:rPr>
                <w:rStyle w:val="BookTitle"/>
                <w:rFonts w:ascii="標楷體" w:eastAsia="標楷體" w:hAnsi="標楷體" w:hint="eastAsia"/>
                <w:color w:val="auto"/>
                <w:spacing w:val="0"/>
                <w:sz w:val="18"/>
                <w:szCs w:val="20"/>
                <w:lang w:eastAsia="zh-TW"/>
              </w:rPr>
              <w:t>兆豐國際商業銀行股份有限公司</w:t>
            </w:r>
            <w:bookmarkEnd w:id="5"/>
          </w:p>
        </w:tc>
        <w:tc>
          <w:tcPr>
            <w:tcW w:w="4646" w:type="dxa"/>
          </w:tcPr>
          <w:p w:rsidR="002A426E" w:rsidRDefault="002A426E" w:rsidP="002A426E">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台北市中山區吉林路100號9樓</w:t>
            </w:r>
          </w:p>
        </w:tc>
        <w:tc>
          <w:tcPr>
            <w:tcW w:w="2747" w:type="dxa"/>
          </w:tcPr>
          <w:p w:rsidR="002A426E" w:rsidRDefault="002A426E" w:rsidP="002A426E">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8</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1D6BA5" w:rsidRPr="000765DD" w:rsidTr="005D086B">
        <w:trPr>
          <w:trHeight w:val="158"/>
        </w:trPr>
        <w:tc>
          <w:tcPr>
            <w:tcW w:w="3063" w:type="dxa"/>
          </w:tcPr>
          <w:p w:rsidR="001D6BA5" w:rsidRPr="000312BD" w:rsidRDefault="001D6BA5" w:rsidP="001D6BA5">
            <w:pPr>
              <w:snapToGrid w:val="0"/>
              <w:rPr>
                <w:rStyle w:val="BookTitle"/>
                <w:rFonts w:ascii="標楷體" w:eastAsia="標楷體" w:hAnsi="標楷體"/>
                <w:color w:val="auto"/>
                <w:spacing w:val="0"/>
                <w:sz w:val="18"/>
                <w:szCs w:val="20"/>
                <w:lang w:eastAsia="zh-TW"/>
              </w:rPr>
            </w:pPr>
            <w:proofErr w:type="gramStart"/>
            <w:r w:rsidRPr="000312BD">
              <w:rPr>
                <w:rStyle w:val="BookTitle"/>
                <w:rFonts w:ascii="標楷體" w:eastAsia="標楷體" w:hAnsi="標楷體"/>
                <w:color w:val="auto"/>
                <w:spacing w:val="0"/>
                <w:sz w:val="18"/>
                <w:szCs w:val="20"/>
                <w:lang w:eastAsia="zh-TW"/>
              </w:rPr>
              <w:t>凱</w:t>
            </w:r>
            <w:proofErr w:type="gramEnd"/>
            <w:r w:rsidRPr="000312BD">
              <w:rPr>
                <w:rStyle w:val="BookTitle"/>
                <w:rFonts w:ascii="標楷體" w:eastAsia="標楷體" w:hAnsi="標楷體"/>
                <w:color w:val="auto"/>
                <w:spacing w:val="0"/>
                <w:sz w:val="18"/>
                <w:szCs w:val="20"/>
                <w:lang w:eastAsia="zh-TW"/>
              </w:rPr>
              <w:t>基商業銀行股份有限公司</w:t>
            </w:r>
          </w:p>
        </w:tc>
        <w:tc>
          <w:tcPr>
            <w:tcW w:w="4646" w:type="dxa"/>
          </w:tcPr>
          <w:p w:rsidR="001D6BA5" w:rsidRDefault="001D6BA5" w:rsidP="001D6BA5">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臺北市南京東路五段</w:t>
            </w:r>
            <w:r w:rsidRPr="00A12AE8">
              <w:rPr>
                <w:rStyle w:val="BookTitle"/>
                <w:rFonts w:ascii="標楷體" w:eastAsia="標楷體" w:hAnsi="標楷體"/>
                <w:color w:val="auto"/>
                <w:spacing w:val="0"/>
                <w:sz w:val="18"/>
                <w:szCs w:val="20"/>
                <w:lang w:eastAsia="zh-TW"/>
              </w:rPr>
              <w:t>125</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8</w:t>
            </w:r>
            <w:r w:rsidRPr="00A12AE8">
              <w:rPr>
                <w:rStyle w:val="BookTitle"/>
                <w:rFonts w:ascii="標楷體" w:eastAsia="標楷體" w:hAnsi="標楷體" w:hint="eastAsia"/>
                <w:color w:val="auto"/>
                <w:spacing w:val="0"/>
                <w:sz w:val="18"/>
                <w:szCs w:val="20"/>
                <w:lang w:eastAsia="zh-TW"/>
              </w:rPr>
              <w:t>樓</w:t>
            </w:r>
          </w:p>
        </w:tc>
        <w:tc>
          <w:tcPr>
            <w:tcW w:w="2747" w:type="dxa"/>
          </w:tcPr>
          <w:p w:rsidR="001D6BA5" w:rsidRDefault="001D6BA5" w:rsidP="001D6BA5">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5</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1D6BA5" w:rsidRPr="000765DD" w:rsidTr="005D086B">
        <w:trPr>
          <w:trHeight w:val="158"/>
        </w:trPr>
        <w:tc>
          <w:tcPr>
            <w:tcW w:w="3063" w:type="dxa"/>
          </w:tcPr>
          <w:p w:rsidR="001D6BA5" w:rsidRPr="000312BD" w:rsidRDefault="001D6BA5" w:rsidP="001D6BA5">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統一綜合證券股份有限公司</w:t>
            </w:r>
          </w:p>
        </w:tc>
        <w:tc>
          <w:tcPr>
            <w:tcW w:w="4646" w:type="dxa"/>
          </w:tcPr>
          <w:p w:rsidR="001D6BA5" w:rsidRPr="001D4BD6" w:rsidRDefault="001D6BA5" w:rsidP="001D6BA5">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台北市松山區東興路8號2樓</w:t>
            </w:r>
          </w:p>
        </w:tc>
        <w:tc>
          <w:tcPr>
            <w:tcW w:w="2747" w:type="dxa"/>
          </w:tcPr>
          <w:p w:rsidR="001D6BA5" w:rsidRDefault="001D6BA5" w:rsidP="001D6BA5">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D1AFA">
              <w:rPr>
                <w:rStyle w:val="BookTitle"/>
                <w:rFonts w:ascii="標楷體" w:eastAsia="標楷體" w:hAnsi="標楷體" w:hint="eastAsia"/>
                <w:color w:val="auto"/>
                <w:spacing w:val="0"/>
                <w:sz w:val="18"/>
                <w:szCs w:val="20"/>
                <w:lang w:eastAsia="zh-TW"/>
              </w:rPr>
              <w:t xml:space="preserve"> 3</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bl>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740DB4">
        <w:rPr>
          <w:rStyle w:val="BookTitle"/>
          <w:rFonts w:ascii="標楷體" w:eastAsia="標楷體" w:hAnsi="標楷體" w:hint="eastAsia"/>
          <w:color w:val="auto"/>
          <w:spacing w:val="0"/>
          <w:sz w:val="18"/>
          <w:lang w:eastAsia="zh-TW"/>
        </w:rPr>
        <w:t>美金</w:t>
      </w:r>
      <w:r w:rsidR="000D1AFA">
        <w:rPr>
          <w:rStyle w:val="BookTitle"/>
          <w:rFonts w:ascii="標楷體" w:eastAsia="標楷體" w:hAnsi="標楷體" w:hint="eastAsia"/>
          <w:color w:val="auto"/>
          <w:spacing w:val="0"/>
          <w:sz w:val="18"/>
          <w:lang w:eastAsia="zh-TW"/>
        </w:rPr>
        <w:t>375</w:t>
      </w:r>
      <w:r w:rsidR="001E274F"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proofErr w:type="gramStart"/>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w:t>
      </w:r>
      <w:proofErr w:type="gramEnd"/>
      <w:r w:rsidRPr="000765DD">
        <w:rPr>
          <w:rStyle w:val="BookTitle"/>
          <w:rFonts w:ascii="標楷體" w:eastAsia="標楷體" w:hAnsi="標楷體" w:hint="eastAsia"/>
          <w:color w:val="auto"/>
          <w:spacing w:val="0"/>
          <w:sz w:val="18"/>
          <w:lang w:eastAsia="zh-TW"/>
        </w:rPr>
        <w:t>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0D1AFA">
        <w:rPr>
          <w:rStyle w:val="BookTitle"/>
          <w:rFonts w:ascii="標楷體" w:eastAsia="標楷體" w:hAnsi="標楷體" w:hint="eastAsia"/>
          <w:color w:val="auto"/>
          <w:spacing w:val="0"/>
          <w:sz w:val="18"/>
          <w:lang w:eastAsia="zh-TW"/>
        </w:rPr>
        <w:t>1</w:t>
      </w:r>
      <w:r w:rsidR="000202F5">
        <w:rPr>
          <w:rStyle w:val="BookTitle"/>
          <w:rFonts w:ascii="標楷體" w:eastAsia="標楷體" w:hAnsi="標楷體" w:hint="eastAsia"/>
          <w:color w:val="auto"/>
          <w:spacing w:val="0"/>
          <w:sz w:val="18"/>
          <w:lang w:eastAsia="zh-TW"/>
        </w:rPr>
        <w:t>0</w:t>
      </w:r>
      <w:r w:rsidRPr="000765DD">
        <w:rPr>
          <w:rStyle w:val="BookTitle"/>
          <w:rFonts w:ascii="標楷體" w:eastAsia="標楷體" w:hAnsi="標楷體"/>
          <w:color w:val="auto"/>
          <w:spacing w:val="0"/>
          <w:sz w:val="18"/>
          <w:lang w:eastAsia="zh-TW"/>
        </w:rPr>
        <w:t>月</w:t>
      </w:r>
      <w:r w:rsidR="000202F5">
        <w:rPr>
          <w:rStyle w:val="BookTitle"/>
          <w:rFonts w:ascii="標楷體" w:eastAsia="標楷體" w:hAnsi="標楷體" w:hint="eastAsia"/>
          <w:color w:val="auto"/>
          <w:spacing w:val="0"/>
          <w:sz w:val="18"/>
          <w:lang w:eastAsia="zh-TW"/>
        </w:rPr>
        <w:t>3</w:t>
      </w:r>
      <w:r w:rsidR="000D1AFA">
        <w:rPr>
          <w:rStyle w:val="BookTitle"/>
          <w:rFonts w:ascii="標楷體" w:eastAsia="標楷體" w:hAnsi="標楷體" w:hint="eastAsia"/>
          <w:color w:val="auto"/>
          <w:spacing w:val="0"/>
          <w:sz w:val="18"/>
          <w:lang w:eastAsia="zh-TW"/>
        </w:rPr>
        <w:t>1</w:t>
      </w:r>
      <w:r w:rsidRPr="000765DD">
        <w:rPr>
          <w:rStyle w:val="BookTitle"/>
          <w:rFonts w:ascii="標楷體" w:eastAsia="標楷體" w:hAnsi="標楷體"/>
          <w:color w:val="auto"/>
          <w:spacing w:val="0"/>
          <w:sz w:val="18"/>
          <w:lang w:eastAsia="zh-TW"/>
        </w:rPr>
        <w:t>日，於201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1AFA">
        <w:rPr>
          <w:rStyle w:val="BookTitle"/>
          <w:rFonts w:ascii="標楷體" w:eastAsia="標楷體" w:hAnsi="標楷體" w:hint="eastAsia"/>
          <w:color w:val="auto"/>
          <w:spacing w:val="0"/>
          <w:sz w:val="18"/>
          <w:lang w:eastAsia="zh-TW"/>
        </w:rPr>
        <w:t>1</w:t>
      </w:r>
      <w:r w:rsidRPr="000765DD">
        <w:rPr>
          <w:rStyle w:val="BookTitle"/>
          <w:rFonts w:ascii="標楷體" w:eastAsia="標楷體" w:hAnsi="標楷體"/>
          <w:color w:val="auto"/>
          <w:spacing w:val="0"/>
          <w:sz w:val="18"/>
          <w:lang w:eastAsia="zh-TW"/>
        </w:rPr>
        <w:t>月</w:t>
      </w:r>
      <w:r w:rsidR="000D1AFA">
        <w:rPr>
          <w:rStyle w:val="BookTitle"/>
          <w:rFonts w:ascii="標楷體" w:eastAsia="標楷體" w:hAnsi="標楷體" w:hint="eastAsia"/>
          <w:color w:val="auto"/>
          <w:spacing w:val="0"/>
          <w:sz w:val="18"/>
          <w:lang w:eastAsia="zh-TW"/>
        </w:rPr>
        <w:t>14</w:t>
      </w:r>
      <w:r w:rsidRPr="000765DD">
        <w:rPr>
          <w:rStyle w:val="BookTitle"/>
          <w:rFonts w:ascii="標楷體" w:eastAsia="標楷體" w:hAnsi="標楷體"/>
          <w:color w:val="auto"/>
          <w:spacing w:val="0"/>
          <w:sz w:val="18"/>
          <w:lang w:eastAsia="zh-TW"/>
        </w:rPr>
        <w:t>日辦理承銷公告並於201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1AFA">
        <w:rPr>
          <w:rStyle w:val="BookTitle"/>
          <w:rFonts w:ascii="標楷體" w:eastAsia="標楷體" w:hAnsi="標楷體" w:hint="eastAsia"/>
          <w:color w:val="auto"/>
          <w:spacing w:val="0"/>
          <w:sz w:val="18"/>
          <w:lang w:eastAsia="zh-TW"/>
        </w:rPr>
        <w:t>1</w:t>
      </w:r>
      <w:r w:rsidRPr="000765DD">
        <w:rPr>
          <w:rStyle w:val="BookTitle"/>
          <w:rFonts w:ascii="標楷體" w:eastAsia="標楷體" w:hAnsi="標楷體"/>
          <w:color w:val="auto"/>
          <w:spacing w:val="0"/>
          <w:sz w:val="18"/>
          <w:lang w:eastAsia="zh-TW"/>
        </w:rPr>
        <w:t>月</w:t>
      </w:r>
      <w:r w:rsidR="000D1AFA">
        <w:rPr>
          <w:rStyle w:val="BookTitle"/>
          <w:rFonts w:ascii="標楷體" w:eastAsia="標楷體" w:hAnsi="標楷體" w:hint="eastAsia"/>
          <w:color w:val="auto"/>
          <w:spacing w:val="0"/>
          <w:sz w:val="18"/>
          <w:lang w:eastAsia="zh-TW"/>
        </w:rPr>
        <w:t>15</w:t>
      </w:r>
      <w:r w:rsidRPr="000765DD">
        <w:rPr>
          <w:rStyle w:val="BookTitle"/>
          <w:rFonts w:ascii="標楷體" w:eastAsia="標楷體" w:hAnsi="標楷體"/>
          <w:color w:val="auto"/>
          <w:spacing w:val="0"/>
          <w:sz w:val="18"/>
          <w:lang w:eastAsia="zh-TW"/>
        </w:rPr>
        <w:t xml:space="preserve">日發行。 </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w:t>
      </w:r>
      <w:r w:rsidR="00740DB4">
        <w:rPr>
          <w:rStyle w:val="BookTitle"/>
          <w:rFonts w:ascii="標楷體" w:eastAsia="標楷體" w:hAnsi="標楷體"/>
          <w:color w:val="auto"/>
          <w:spacing w:val="0"/>
          <w:sz w:val="18"/>
          <w:lang w:eastAsia="zh-TW"/>
        </w:rPr>
        <w:t>美金</w:t>
      </w:r>
      <w:r w:rsidR="00F222C0">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1AFA">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月</w:t>
      </w:r>
      <w:r w:rsidR="000D1AFA">
        <w:rPr>
          <w:rStyle w:val="BookTitle"/>
          <w:rFonts w:ascii="標楷體" w:eastAsia="標楷體" w:hAnsi="標楷體" w:hint="eastAsia"/>
          <w:color w:val="auto"/>
          <w:spacing w:val="0"/>
          <w:sz w:val="18"/>
          <w:lang w:eastAsia="zh-TW"/>
        </w:rPr>
        <w:t>1</w:t>
      </w:r>
      <w:r w:rsidR="000D1AFA">
        <w:rPr>
          <w:rStyle w:val="BookTitle"/>
          <w:rFonts w:ascii="標楷體" w:eastAsia="標楷體" w:hAnsi="標楷體"/>
          <w:color w:val="auto"/>
          <w:spacing w:val="0"/>
          <w:sz w:val="18"/>
          <w:lang w:eastAsia="zh-TW"/>
        </w:rPr>
        <w:t>5</w:t>
      </w:r>
      <w:r w:rsidRPr="000765DD">
        <w:rPr>
          <w:rStyle w:val="BookTitle"/>
          <w:rFonts w:ascii="標楷體" w:eastAsia="標楷體" w:hAnsi="標楷體"/>
          <w:color w:val="auto"/>
          <w:spacing w:val="0"/>
          <w:sz w:val="18"/>
          <w:lang w:eastAsia="zh-TW"/>
        </w:rPr>
        <w:t xml:space="preserve">日。 </w:t>
      </w:r>
    </w:p>
    <w:p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232F94">
        <w:rPr>
          <w:rStyle w:val="BookTitle"/>
          <w:rFonts w:ascii="標楷體" w:eastAsia="標楷體" w:hAnsi="標楷體" w:hint="eastAsia"/>
          <w:color w:val="auto"/>
          <w:spacing w:val="0"/>
          <w:sz w:val="18"/>
          <w:lang w:eastAsia="zh-TW"/>
        </w:rPr>
        <w:t>24</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0D1AFA">
        <w:rPr>
          <w:rStyle w:val="BookTitle"/>
          <w:rFonts w:ascii="標楷體" w:eastAsia="標楷體" w:hAnsi="標楷體"/>
          <w:color w:val="auto"/>
          <w:spacing w:val="0"/>
          <w:sz w:val="18"/>
          <w:lang w:eastAsia="zh-TW"/>
        </w:rPr>
        <w:t>1</w:t>
      </w:r>
      <w:r w:rsidRPr="000765DD">
        <w:rPr>
          <w:rStyle w:val="BookTitle"/>
          <w:rFonts w:ascii="標楷體" w:eastAsia="標楷體" w:hAnsi="標楷體"/>
          <w:color w:val="auto"/>
          <w:spacing w:val="0"/>
          <w:sz w:val="18"/>
          <w:lang w:eastAsia="zh-TW"/>
        </w:rPr>
        <w:t>月</w:t>
      </w:r>
      <w:r w:rsidR="000D1AFA">
        <w:rPr>
          <w:rStyle w:val="BookTitle"/>
          <w:rFonts w:ascii="標楷體" w:eastAsia="標楷體" w:hAnsi="標楷體" w:hint="eastAsia"/>
          <w:color w:val="auto"/>
          <w:spacing w:val="0"/>
          <w:sz w:val="18"/>
          <w:lang w:eastAsia="zh-TW"/>
        </w:rPr>
        <w:t>1</w:t>
      </w:r>
      <w:r w:rsidR="000D1AFA">
        <w:rPr>
          <w:rStyle w:val="BookTitle"/>
          <w:rFonts w:ascii="標楷體" w:eastAsia="標楷體" w:hAnsi="標楷體"/>
          <w:color w:val="auto"/>
          <w:spacing w:val="0"/>
          <w:sz w:val="18"/>
          <w:lang w:eastAsia="zh-TW"/>
        </w:rPr>
        <w:t>5</w:t>
      </w:r>
      <w:r w:rsidRPr="000765DD">
        <w:rPr>
          <w:rStyle w:val="BookTitle"/>
          <w:rFonts w:ascii="標楷體" w:eastAsia="標楷體" w:hAnsi="標楷體"/>
          <w:color w:val="auto"/>
          <w:spacing w:val="0"/>
          <w:sz w:val="18"/>
          <w:lang w:eastAsia="zh-TW"/>
        </w:rPr>
        <w:t>日。</w:t>
      </w:r>
    </w:p>
    <w:p w:rsidR="004212B1" w:rsidRPr="00232F94"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F222C0" w:rsidRPr="00F222C0">
        <w:rPr>
          <w:rStyle w:val="BookTitle"/>
          <w:rFonts w:ascii="標楷體" w:eastAsia="標楷體" w:hAnsi="標楷體"/>
          <w:color w:val="auto"/>
          <w:spacing w:val="0"/>
          <w:sz w:val="18"/>
          <w:lang w:eastAsia="zh-TW"/>
        </w:rPr>
        <w:t>A</w:t>
      </w:r>
      <w:r w:rsidR="00712CCF">
        <w:rPr>
          <w:rStyle w:val="BookTitle"/>
          <w:rFonts w:ascii="標楷體" w:eastAsia="標楷體" w:hAnsi="標楷體"/>
          <w:color w:val="auto"/>
          <w:spacing w:val="0"/>
          <w:sz w:val="18"/>
          <w:lang w:eastAsia="zh-TW"/>
        </w:rPr>
        <w:t>a</w:t>
      </w:r>
      <w:r w:rsidR="00F222C0" w:rsidRPr="00F222C0">
        <w:rPr>
          <w:rStyle w:val="BookTitle"/>
          <w:rFonts w:ascii="標楷體" w:eastAsia="標楷體" w:hAnsi="標楷體"/>
          <w:color w:val="auto"/>
          <w:spacing w:val="0"/>
          <w:sz w:val="18"/>
          <w:lang w:eastAsia="zh-TW"/>
        </w:rPr>
        <w:t>3 (Moody’s)</w:t>
      </w:r>
      <w:r w:rsidR="00712CCF">
        <w:rPr>
          <w:rStyle w:val="BookTitle"/>
          <w:rFonts w:ascii="標楷體" w:eastAsia="標楷體" w:hAnsi="標楷體" w:hint="eastAsia"/>
          <w:color w:val="auto"/>
          <w:spacing w:val="0"/>
          <w:sz w:val="18"/>
          <w:lang w:eastAsia="zh-TW"/>
        </w:rPr>
        <w:t xml:space="preserve"> /A</w:t>
      </w:r>
      <w:r w:rsidR="00461689">
        <w:rPr>
          <w:rStyle w:val="BookTitle"/>
          <w:rFonts w:ascii="標楷體" w:eastAsia="標楷體" w:hAnsi="標楷體"/>
          <w:color w:val="auto"/>
          <w:spacing w:val="0"/>
          <w:sz w:val="18"/>
          <w:lang w:eastAsia="zh-TW"/>
        </w:rPr>
        <w:t>A</w:t>
      </w:r>
      <w:r w:rsidR="000202F5">
        <w:rPr>
          <w:rStyle w:val="BookTitle"/>
          <w:rFonts w:ascii="標楷體" w:eastAsia="標楷體" w:hAnsi="標楷體"/>
          <w:color w:val="auto"/>
          <w:spacing w:val="0"/>
          <w:sz w:val="18"/>
          <w:lang w:eastAsia="zh-TW"/>
        </w:rPr>
        <w:t xml:space="preserve"> </w:t>
      </w:r>
      <w:r w:rsidR="00712CCF">
        <w:rPr>
          <w:rStyle w:val="BookTitle"/>
          <w:rFonts w:ascii="標楷體" w:eastAsia="標楷體" w:hAnsi="標楷體" w:hint="eastAsia"/>
          <w:color w:val="auto"/>
          <w:spacing w:val="0"/>
          <w:sz w:val="18"/>
          <w:lang w:eastAsia="zh-TW"/>
        </w:rPr>
        <w:t>(</w:t>
      </w:r>
      <w:r w:rsidR="00461689" w:rsidRPr="00461689">
        <w:rPr>
          <w:rStyle w:val="BookTitle"/>
          <w:rFonts w:ascii="標楷體" w:eastAsia="標楷體" w:hAnsi="標楷體"/>
          <w:color w:val="auto"/>
          <w:spacing w:val="0"/>
          <w:sz w:val="18"/>
          <w:lang w:eastAsia="zh-TW"/>
        </w:rPr>
        <w:t>Standard</w:t>
      </w:r>
      <w:r w:rsidR="000202F5">
        <w:rPr>
          <w:rStyle w:val="BookTitle"/>
          <w:rFonts w:ascii="標楷體" w:eastAsia="標楷體" w:hAnsi="標楷體" w:hint="eastAsia"/>
          <w:color w:val="auto"/>
          <w:spacing w:val="0"/>
          <w:sz w:val="18"/>
          <w:lang w:eastAsia="zh-TW"/>
        </w:rPr>
        <w:t xml:space="preserve"> </w:t>
      </w:r>
      <w:r w:rsidR="000202F5">
        <w:rPr>
          <w:rStyle w:val="BookTitle"/>
          <w:rFonts w:ascii="標楷體" w:eastAsia="標楷體" w:hAnsi="標楷體"/>
          <w:color w:val="auto"/>
          <w:spacing w:val="0"/>
          <w:sz w:val="18"/>
          <w:lang w:eastAsia="zh-TW"/>
        </w:rPr>
        <w:t xml:space="preserve">and </w:t>
      </w:r>
      <w:proofErr w:type="gramStart"/>
      <w:r w:rsidR="00461689" w:rsidRPr="00461689">
        <w:rPr>
          <w:rStyle w:val="BookTitle"/>
          <w:rFonts w:ascii="標楷體" w:eastAsia="標楷體" w:hAnsi="標楷體"/>
          <w:color w:val="auto"/>
          <w:spacing w:val="0"/>
          <w:sz w:val="18"/>
          <w:lang w:eastAsia="zh-TW"/>
        </w:rPr>
        <w:t>Poor’s</w:t>
      </w:r>
      <w:r w:rsidR="00712CCF">
        <w:rPr>
          <w:rStyle w:val="BookTitle"/>
          <w:rFonts w:ascii="標楷體" w:eastAsia="標楷體" w:hAnsi="標楷體" w:hint="eastAsia"/>
          <w:color w:val="auto"/>
          <w:spacing w:val="0"/>
          <w:sz w:val="18"/>
          <w:lang w:eastAsia="zh-TW"/>
        </w:rPr>
        <w:t>)</w:t>
      </w:r>
      <w:bookmarkStart w:id="6" w:name="_GoBack"/>
      <w:bookmarkEnd w:id="6"/>
      <w:r w:rsidR="00712CCF" w:rsidRPr="003D0E6A">
        <w:rPr>
          <w:rStyle w:val="BookTitle"/>
          <w:rFonts w:ascii="標楷體" w:eastAsia="標楷體" w:hAnsi="標楷體" w:hint="eastAsia"/>
          <w:color w:val="auto"/>
          <w:spacing w:val="0"/>
          <w:sz w:val="18"/>
          <w:lang w:eastAsia="zh-TW"/>
        </w:rPr>
        <w:t>。</w:t>
      </w:r>
      <w:proofErr w:type="gramEnd"/>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740DB4">
        <w:rPr>
          <w:rStyle w:val="BookTitle"/>
          <w:rFonts w:ascii="標楷體" w:eastAsia="標楷體" w:hAnsi="標楷體"/>
          <w:color w:val="auto"/>
          <w:spacing w:val="0"/>
          <w:sz w:val="18"/>
          <w:lang w:eastAsia="zh-TW"/>
        </w:rPr>
        <w:t>美金</w:t>
      </w:r>
      <w:r w:rsidR="00F222C0">
        <w:rPr>
          <w:rStyle w:val="BookTitle"/>
          <w:rFonts w:ascii="標楷體" w:eastAsia="標楷體" w:hAnsi="標楷體" w:hint="eastAsia"/>
          <w:color w:val="auto"/>
          <w:spacing w:val="0"/>
          <w:sz w:val="18"/>
          <w:lang w:eastAsia="zh-TW"/>
        </w:rPr>
        <w:t>貳拾</w:t>
      </w:r>
      <w:r w:rsidRPr="006C0276">
        <w:rPr>
          <w:rStyle w:val="BookTitle"/>
          <w:rFonts w:ascii="標楷體" w:eastAsia="標楷體" w:hAnsi="標楷體"/>
          <w:color w:val="auto"/>
          <w:spacing w:val="0"/>
          <w:sz w:val="18"/>
          <w:lang w:eastAsia="zh-TW"/>
        </w:rPr>
        <w:t>萬元整。</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F222C0" w:rsidRPr="006C0276">
        <w:rPr>
          <w:rStyle w:val="BookTitle"/>
          <w:rFonts w:ascii="標楷體" w:eastAsia="標楷體" w:hAnsi="標楷體" w:hint="eastAsia"/>
          <w:color w:val="auto"/>
          <w:spacing w:val="0"/>
          <w:sz w:val="18"/>
          <w:lang w:eastAsia="zh-TW"/>
        </w:rPr>
        <w:t xml:space="preserve">浮動利率三個月倫敦同業拆放利率 + </w:t>
      </w:r>
      <w:r w:rsidR="00461689">
        <w:rPr>
          <w:rStyle w:val="BookTitle"/>
          <w:rFonts w:ascii="標楷體" w:eastAsia="標楷體" w:hAnsi="標楷體"/>
          <w:color w:val="auto"/>
          <w:spacing w:val="0"/>
          <w:sz w:val="18"/>
          <w:lang w:eastAsia="zh-TW"/>
        </w:rPr>
        <w:t>85</w:t>
      </w:r>
      <w:r w:rsidR="00F222C0" w:rsidRPr="006C0276">
        <w:rPr>
          <w:rStyle w:val="BookTitle"/>
          <w:rFonts w:ascii="標楷體" w:eastAsia="標楷體" w:hAnsi="標楷體" w:hint="eastAsia"/>
          <w:color w:val="auto"/>
          <w:spacing w:val="0"/>
          <w:sz w:val="18"/>
          <w:lang w:eastAsia="zh-TW"/>
        </w:rPr>
        <w:t>基點</w:t>
      </w:r>
      <w:r w:rsidR="00FE3DE1" w:rsidRPr="006B00BB">
        <w:rPr>
          <w:rStyle w:val="BookTitle"/>
          <w:rFonts w:ascii="標楷體" w:eastAsia="標楷體" w:hAnsi="標楷體" w:hint="eastAsia"/>
          <w:color w:val="auto"/>
          <w:spacing w:val="0"/>
          <w:sz w:val="18"/>
          <w:lang w:eastAsia="zh-TW"/>
        </w:rPr>
        <w:t>。</w:t>
      </w:r>
    </w:p>
    <w:p w:rsidR="00217ACF" w:rsidRDefault="00D12BB8" w:rsidP="00E52186">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907F08" w:rsidRPr="006C0276">
        <w:rPr>
          <w:rStyle w:val="BookTitle"/>
          <w:rFonts w:ascii="標楷體" w:eastAsia="標楷體" w:hAnsi="標楷體"/>
          <w:color w:val="auto"/>
          <w:spacing w:val="0"/>
          <w:sz w:val="18"/>
          <w:lang w:eastAsia="zh-TW"/>
        </w:rPr>
        <w:t>付息及還本方式：</w:t>
      </w:r>
      <w:r w:rsidR="00907F08" w:rsidRPr="006C0276">
        <w:rPr>
          <w:rStyle w:val="BookTitle"/>
          <w:rFonts w:ascii="標楷體" w:eastAsia="標楷體" w:hAnsi="標楷體" w:hint="eastAsia"/>
          <w:color w:val="auto"/>
          <w:spacing w:val="0"/>
          <w:sz w:val="18"/>
          <w:lang w:eastAsia="zh-TW"/>
        </w:rPr>
        <w:t>本債券為浮動利率債券。發行人將每季付息，並於債券到期日一次還本</w:t>
      </w:r>
      <w:r w:rsidR="00907F08" w:rsidRPr="006C0276">
        <w:rPr>
          <w:rStyle w:val="BookTitle"/>
          <w:rFonts w:ascii="標楷體" w:eastAsia="標楷體" w:hAnsi="標楷體"/>
          <w:color w:val="auto"/>
          <w:spacing w:val="0"/>
          <w:sz w:val="18"/>
          <w:lang w:eastAsia="zh-TW"/>
        </w:rPr>
        <w:t>。</w:t>
      </w:r>
      <w:r w:rsidR="00FE3DE1" w:rsidRPr="001707AF">
        <w:rPr>
          <w:rStyle w:val="BookTitle"/>
          <w:rFonts w:ascii="標楷體" w:eastAsia="標楷體" w:hAnsi="標楷體"/>
          <w:color w:val="auto"/>
          <w:spacing w:val="0"/>
          <w:sz w:val="18"/>
        </w:rPr>
        <w:t>。</w:t>
      </w:r>
    </w:p>
    <w:p w:rsidR="004212B1" w:rsidRPr="00FE3DE1" w:rsidRDefault="00217ACF" w:rsidP="004212B1">
      <w:pPr>
        <w:pStyle w:val="ListParagraph"/>
        <w:ind w:left="360"/>
        <w:rPr>
          <w:rStyle w:val="BookTitle"/>
          <w:rFonts w:ascii="標楷體" w:eastAsia="標楷體" w:hAnsi="標楷體"/>
          <w:color w:val="auto"/>
          <w:spacing w:val="0"/>
          <w:sz w:val="18"/>
          <w:lang w:val="en-US" w:eastAsia="zh-TW"/>
        </w:rPr>
      </w:pPr>
      <w:r w:rsidRPr="00217ACF">
        <w:rPr>
          <w:rStyle w:val="BookTitle"/>
          <w:rFonts w:ascii="標楷體" w:eastAsia="標楷體" w:hAnsi="標楷體" w:hint="eastAsia"/>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217ACF">
        <w:rPr>
          <w:rStyle w:val="BookTitle"/>
          <w:rFonts w:ascii="標楷體" w:eastAsia="標楷體" w:hAnsi="標楷體" w:hint="eastAsia"/>
          <w:color w:val="auto"/>
          <w:spacing w:val="0"/>
          <w:sz w:val="18"/>
          <w:lang w:eastAsia="zh-TW"/>
        </w:rPr>
        <w:t>)</w:t>
      </w:r>
      <w:r w:rsidR="00907F08">
        <w:rPr>
          <w:rStyle w:val="BookTitle"/>
          <w:rFonts w:ascii="標楷體" w:eastAsia="標楷體" w:hAnsi="標楷體" w:hint="eastAsia"/>
          <w:color w:val="auto"/>
          <w:spacing w:val="0"/>
          <w:sz w:val="18"/>
          <w:lang w:eastAsia="zh-TW"/>
        </w:rPr>
        <w:t xml:space="preserve"> </w:t>
      </w:r>
      <w:r w:rsidR="00D12BB8" w:rsidRPr="006C0276">
        <w:rPr>
          <w:rStyle w:val="BookTitle"/>
          <w:rFonts w:ascii="標楷體" w:eastAsia="標楷體" w:hAnsi="標楷體"/>
          <w:color w:val="auto"/>
          <w:spacing w:val="0"/>
          <w:sz w:val="18"/>
        </w:rPr>
        <w:t>營業日：</w:t>
      </w:r>
      <w:bookmarkStart w:id="7" w:name="_Hlk9604233"/>
      <w:r w:rsidR="00461689" w:rsidRPr="00052658">
        <w:rPr>
          <w:rStyle w:val="BookTitle"/>
          <w:rFonts w:ascii="標楷體" w:eastAsia="標楷體" w:hAnsi="標楷體" w:hint="eastAsia"/>
          <w:color w:val="auto"/>
          <w:spacing w:val="0"/>
          <w:sz w:val="18"/>
        </w:rPr>
        <w:t>紐約、倫敦</w:t>
      </w:r>
      <w:r w:rsidR="00461689">
        <w:rPr>
          <w:rStyle w:val="BookTitle"/>
          <w:rFonts w:ascii="標楷體" w:eastAsia="標楷體" w:hAnsi="標楷體" w:hint="eastAsia"/>
          <w:color w:val="auto"/>
          <w:spacing w:val="0"/>
          <w:sz w:val="18"/>
          <w:lang w:eastAsia="zh-TW"/>
        </w:rPr>
        <w:t>‧香港及台北</w:t>
      </w:r>
      <w:r w:rsidR="00461689" w:rsidRPr="00052658">
        <w:rPr>
          <w:rStyle w:val="BookTitle"/>
          <w:rFonts w:ascii="標楷體" w:eastAsia="標楷體" w:hAnsi="標楷體" w:hint="eastAsia"/>
          <w:color w:val="auto"/>
          <w:spacing w:val="0"/>
          <w:sz w:val="18"/>
        </w:rPr>
        <w:t>之商業銀行對外營業之日</w:t>
      </w:r>
      <w:r w:rsidR="00BB0420" w:rsidRPr="006C0276">
        <w:rPr>
          <w:rStyle w:val="BookTitle"/>
          <w:rFonts w:ascii="標楷體" w:eastAsia="標楷體" w:hAnsi="標楷體"/>
          <w:color w:val="auto"/>
          <w:spacing w:val="0"/>
          <w:sz w:val="18"/>
        </w:rPr>
        <w:t>。</w:t>
      </w:r>
      <w:bookmarkEnd w:id="7"/>
    </w:p>
    <w:p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907F08">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14190C">
        <w:rPr>
          <w:rStyle w:val="BookTitle"/>
          <w:rFonts w:ascii="標楷體" w:eastAsia="標楷體" w:hAnsi="標楷體" w:hint="eastAsia"/>
          <w:color w:val="auto"/>
          <w:spacing w:val="0"/>
          <w:sz w:val="18"/>
          <w:lang w:eastAsia="zh-TW"/>
        </w:rPr>
        <w:t>紐約</w:t>
      </w:r>
      <w:r w:rsidR="0014190C" w:rsidRPr="006B00BB">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rsidR="00D12BB8" w:rsidRPr="006C0276" w:rsidRDefault="00D12BB8" w:rsidP="00D430EB">
      <w:pPr>
        <w:pStyle w:val="ListParagraph"/>
        <w:ind w:left="360"/>
        <w:rPr>
          <w:rStyle w:val="BookTitle"/>
          <w:rFonts w:ascii="標楷體" w:eastAsia="標楷體" w:hAnsi="標楷體"/>
          <w:color w:val="auto"/>
          <w:spacing w:val="0"/>
          <w:sz w:val="18"/>
        </w:rPr>
      </w:pPr>
      <w:r w:rsidRPr="006C0276">
        <w:rPr>
          <w:rStyle w:val="BookTitle"/>
          <w:rFonts w:ascii="標楷體" w:eastAsia="標楷體" w:hAnsi="標楷體"/>
          <w:color w:val="auto"/>
          <w:spacing w:val="0"/>
          <w:sz w:val="18"/>
        </w:rPr>
        <w:t>(</w:t>
      </w:r>
      <w:r w:rsidR="00217ACF"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w:t>
      </w:r>
      <w:r w:rsidR="0014190C" w:rsidRPr="00E52186">
        <w:rPr>
          <w:rStyle w:val="BookTitle"/>
          <w:rFonts w:ascii="標楷體" w:eastAsia="標楷體" w:hAnsi="標楷體"/>
          <w:color w:val="auto"/>
          <w:spacing w:val="0"/>
          <w:sz w:val="18"/>
        </w:rPr>
        <w:t>中華民國櫃檯買賣中心</w:t>
      </w:r>
      <w:r w:rsidR="0014190C" w:rsidRPr="00E52186">
        <w:rPr>
          <w:rStyle w:val="BookTitle"/>
          <w:rFonts w:ascii="標楷體" w:eastAsia="標楷體" w:hAnsi="標楷體" w:hint="eastAsia"/>
          <w:color w:val="auto"/>
          <w:spacing w:val="0"/>
          <w:sz w:val="18"/>
        </w:rPr>
        <w:t>及盧森堡交易所</w:t>
      </w:r>
      <w:r w:rsidR="0014190C" w:rsidRPr="00E52186">
        <w:rPr>
          <w:rStyle w:val="BookTitle"/>
          <w:rFonts w:ascii="標楷體" w:eastAsia="標楷體" w:hAnsi="標楷體"/>
          <w:color w:val="auto"/>
          <w:spacing w:val="0"/>
          <w:sz w:val="18"/>
        </w:rPr>
        <w:t>。</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907F08"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907F08">
        <w:rPr>
          <w:rStyle w:val="BookTitle"/>
          <w:rFonts w:ascii="標楷體" w:eastAsia="標楷體" w:hAnsi="標楷體" w:hint="eastAsia"/>
          <w:color w:val="auto"/>
          <w:spacing w:val="0"/>
          <w:sz w:val="18"/>
          <w:lang w:eastAsia="zh-TW"/>
        </w:rPr>
        <w:t>第一項</w:t>
      </w:r>
      <w:r w:rsidR="00907F08"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907F08">
        <w:rPr>
          <w:rStyle w:val="BookTitle"/>
          <w:rFonts w:ascii="標楷體" w:eastAsia="標楷體" w:hAnsi="標楷體" w:hint="eastAsia"/>
          <w:color w:val="auto"/>
          <w:spacing w:val="0"/>
          <w:sz w:val="18"/>
          <w:lang w:eastAsia="zh-TW"/>
        </w:rPr>
        <w:t>國際</w:t>
      </w:r>
      <w:r w:rsidR="00907F08" w:rsidRPr="00351A51">
        <w:rPr>
          <w:rStyle w:val="BookTitle"/>
          <w:rFonts w:ascii="標楷體" w:eastAsia="標楷體" w:hAnsi="標楷體" w:hint="eastAsia"/>
          <w:color w:val="auto"/>
          <w:spacing w:val="0"/>
          <w:sz w:val="18"/>
          <w:lang w:eastAsia="zh-TW"/>
        </w:rPr>
        <w:t>基金者不在此限</w:t>
      </w:r>
      <w:r w:rsidR="00351A51" w:rsidRPr="00351A51">
        <w:rPr>
          <w:rStyle w:val="BookTitle"/>
          <w:rFonts w:ascii="標楷體" w:eastAsia="標楷體" w:hAnsi="標楷體" w:hint="eastAsia"/>
          <w:color w:val="auto"/>
          <w:spacing w:val="0"/>
          <w:sz w:val="18"/>
          <w:lang w:eastAsia="zh-TW"/>
        </w:rPr>
        <w:t>。</w:t>
      </w:r>
    </w:p>
    <w:p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BookTitle"/>
          <w:rFonts w:ascii="標楷體" w:eastAsia="標楷體" w:hAnsi="標楷體"/>
          <w:color w:val="auto"/>
          <w:spacing w:val="0"/>
          <w:sz w:val="18"/>
          <w:lang w:eastAsia="zh-TW"/>
        </w:rPr>
        <w:t>Clearstream</w:t>
      </w:r>
      <w:proofErr w:type="spellEnd"/>
      <w:r w:rsidRPr="000765DD">
        <w:rPr>
          <w:rStyle w:val="BookTitle"/>
          <w:rFonts w:ascii="標楷體" w:eastAsia="標楷體" w:hAnsi="標楷體"/>
          <w:color w:val="auto"/>
          <w:spacing w:val="0"/>
          <w:sz w:val="18"/>
          <w:lang w:eastAsia="zh-TW"/>
        </w:rPr>
        <w:t>(DVP)完成交割或於發行日將本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proofErr w:type="gramStart"/>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w:t>
      </w:r>
      <w:proofErr w:type="gramEnd"/>
      <w:r w:rsidRPr="000765DD">
        <w:rPr>
          <w:rStyle w:val="BookTitle"/>
          <w:rFonts w:ascii="標楷體" w:eastAsia="標楷體" w:hAnsi="標楷體"/>
          <w:color w:val="auto"/>
          <w:spacing w:val="0"/>
          <w:sz w:val="18"/>
          <w:lang w:eastAsia="zh-TW"/>
        </w:rPr>
        <w:t>投資人所指定之集保帳戶。</w:t>
      </w:r>
    </w:p>
    <w:p w:rsidR="00C9153E" w:rsidRPr="00EA08BD" w:rsidRDefault="006060BC" w:rsidP="007B4E9B">
      <w:pPr>
        <w:pStyle w:val="ListParagraph"/>
        <w:numPr>
          <w:ilvl w:val="0"/>
          <w:numId w:val="6"/>
        </w:numPr>
        <w:snapToGrid w:val="0"/>
        <w:spacing w:after="0"/>
        <w:rPr>
          <w:rStyle w:val="BookTitle"/>
          <w:rFonts w:ascii="標楷體" w:eastAsia="標楷體" w:hAnsi="標楷體"/>
          <w:color w:val="auto"/>
          <w:spacing w:val="0"/>
          <w:sz w:val="18"/>
          <w:lang w:eastAsia="zh-TW"/>
        </w:rPr>
      </w:pPr>
      <w:r w:rsidRPr="00EA08BD">
        <w:rPr>
          <w:rStyle w:val="BookTitle"/>
          <w:rFonts w:ascii="標楷體" w:eastAsia="標楷體" w:hAnsi="標楷體" w:hint="eastAsia"/>
          <w:color w:val="auto"/>
          <w:spacing w:val="0"/>
          <w:sz w:val="18"/>
          <w:lang w:eastAsia="zh-TW"/>
        </w:rPr>
        <w:t>公開說明書之分送、揭露及取閱方式：</w:t>
      </w:r>
      <w:r w:rsidRPr="00EA08BD">
        <w:rPr>
          <w:rStyle w:val="BookTitle"/>
          <w:rFonts w:ascii="標楷體" w:eastAsia="標楷體" w:hAnsi="標楷體"/>
          <w:color w:val="auto"/>
          <w:spacing w:val="0"/>
          <w:sz w:val="18"/>
          <w:lang w:eastAsia="zh-TW"/>
        </w:rPr>
        <w:t>如經投資人同意承銷商得以電子郵件方式交付公開說明書，投資人並得至公開資訊觀測站 (http://mops.twse.com.tw)或</w:t>
      </w:r>
      <w:r w:rsidRPr="00EA08BD">
        <w:rPr>
          <w:rStyle w:val="BookTitle"/>
          <w:rFonts w:ascii="標楷體" w:eastAsia="標楷體" w:hAnsi="標楷體" w:hint="eastAsia"/>
          <w:color w:val="auto"/>
          <w:spacing w:val="0"/>
          <w:sz w:val="18"/>
          <w:lang w:eastAsia="zh-TW"/>
        </w:rPr>
        <w:t>渣打國際商業銀行</w:t>
      </w:r>
      <w:r w:rsidRPr="00EA08BD">
        <w:rPr>
          <w:rStyle w:val="BookTitle"/>
          <w:rFonts w:ascii="標楷體" w:eastAsia="標楷體" w:hAnsi="標楷體"/>
          <w:color w:val="auto"/>
          <w:spacing w:val="0"/>
          <w:sz w:val="18"/>
          <w:lang w:eastAsia="zh-TW"/>
        </w:rPr>
        <w:t>網址(http</w:t>
      </w:r>
      <w:r w:rsidRPr="00EA08BD">
        <w:rPr>
          <w:rStyle w:val="BookTitle"/>
          <w:rFonts w:ascii="標楷體" w:eastAsia="標楷體" w:hAnsi="標楷體" w:hint="eastAsia"/>
          <w:color w:val="auto"/>
          <w:spacing w:val="0"/>
          <w:sz w:val="18"/>
          <w:lang w:eastAsia="zh-TW"/>
        </w:rPr>
        <w:t>s</w:t>
      </w:r>
      <w:r w:rsidRPr="00EA08BD">
        <w:rPr>
          <w:rStyle w:val="BookTitle"/>
          <w:rFonts w:ascii="標楷體" w:eastAsia="標楷體" w:hAnsi="標楷體"/>
          <w:color w:val="auto"/>
          <w:spacing w:val="0"/>
          <w:sz w:val="18"/>
          <w:lang w:eastAsia="zh-TW"/>
        </w:rPr>
        <w:t>://</w:t>
      </w:r>
      <w:r w:rsidRPr="00EA08BD">
        <w:rPr>
          <w:rStyle w:val="BookTitle"/>
          <w:rFonts w:ascii="標楷體" w:eastAsia="標楷體" w:hAnsi="標楷體" w:hint="eastAsia"/>
          <w:color w:val="auto"/>
          <w:spacing w:val="0"/>
          <w:sz w:val="18"/>
          <w:lang w:eastAsia="zh-TW"/>
        </w:rPr>
        <w:t>www.sc.com/tw</w:t>
      </w:r>
      <w:r w:rsidRPr="00EA08BD">
        <w:rPr>
          <w:rStyle w:val="BookTitle"/>
          <w:rFonts w:ascii="標楷體" w:eastAsia="標楷體" w:hAnsi="標楷體"/>
          <w:color w:val="auto"/>
          <w:spacing w:val="0"/>
          <w:sz w:val="18"/>
          <w:lang w:eastAsia="zh-TW"/>
        </w:rPr>
        <w:t>)</w:t>
      </w:r>
      <w:bookmarkStart w:id="8" w:name="_Hlk4173079"/>
      <w:r w:rsidRPr="00EA08BD">
        <w:rPr>
          <w:rStyle w:val="BookTitle"/>
          <w:rFonts w:ascii="標楷體" w:eastAsia="標楷體" w:hAnsi="標楷體" w:hint="eastAsia"/>
          <w:color w:val="auto"/>
          <w:spacing w:val="0"/>
          <w:sz w:val="18"/>
          <w:lang w:eastAsia="zh-TW"/>
        </w:rPr>
        <w:t>，</w:t>
      </w:r>
      <w:bookmarkEnd w:id="8"/>
      <w:r w:rsidR="00936A12" w:rsidRPr="00F830EE">
        <w:rPr>
          <w:rStyle w:val="BookTitle"/>
          <w:rFonts w:ascii="標楷體" w:eastAsia="標楷體" w:hAnsi="標楷體" w:hint="eastAsia"/>
          <w:color w:val="auto"/>
          <w:spacing w:val="0"/>
          <w:sz w:val="18"/>
          <w:lang w:eastAsia="zh-TW"/>
        </w:rPr>
        <w:t>法商東方匯理銀行股份有限公司台北分公司</w:t>
      </w:r>
      <w:r w:rsidR="00936A12" w:rsidRPr="00EA08BD">
        <w:rPr>
          <w:rStyle w:val="BookTitle"/>
          <w:rFonts w:ascii="標楷體" w:eastAsia="標楷體" w:hAnsi="標楷體" w:hint="eastAsia"/>
          <w:color w:val="auto"/>
          <w:spacing w:val="0"/>
          <w:sz w:val="18"/>
          <w:lang w:eastAsia="zh-TW"/>
        </w:rPr>
        <w:t>(</w:t>
      </w:r>
      <w:r w:rsidR="00936A12" w:rsidRPr="00F830EE">
        <w:rPr>
          <w:rStyle w:val="BookTitle"/>
          <w:rFonts w:ascii="標楷體" w:eastAsia="標楷體" w:hAnsi="標楷體"/>
          <w:color w:val="auto"/>
          <w:spacing w:val="0"/>
          <w:sz w:val="18"/>
          <w:lang w:eastAsia="zh-TW"/>
        </w:rPr>
        <w:t>https://clicktime.symantec.com/36Kyqpzd492Ye1fbc83KeRx7Vc?u=http%3A%2F%2Fwww.ca-cib.com%2Fglobal-presence%2Ftaiwan-in-chinese.htm</w:t>
      </w:r>
      <w:r w:rsidR="00936A12" w:rsidRPr="00EA08BD">
        <w:rPr>
          <w:rStyle w:val="BookTitle"/>
          <w:rFonts w:ascii="標楷體" w:eastAsia="標楷體" w:hAnsi="標楷體" w:hint="eastAsia"/>
          <w:color w:val="auto"/>
          <w:spacing w:val="0"/>
          <w:sz w:val="18"/>
          <w:lang w:eastAsia="zh-TW"/>
        </w:rPr>
        <w:t>)</w:t>
      </w:r>
      <w:bookmarkStart w:id="9" w:name="_Hlk23950446"/>
      <w:r w:rsidR="00936A12" w:rsidRPr="00EA08BD">
        <w:rPr>
          <w:rStyle w:val="BookTitle"/>
          <w:rFonts w:ascii="標楷體" w:eastAsia="標楷體" w:hAnsi="標楷體" w:hint="eastAsia"/>
          <w:color w:val="auto"/>
          <w:spacing w:val="0"/>
          <w:sz w:val="18"/>
          <w:lang w:eastAsia="zh-TW"/>
        </w:rPr>
        <w:t>，</w:t>
      </w:r>
      <w:bookmarkEnd w:id="9"/>
      <w:r w:rsidR="00936A12" w:rsidRPr="00F830EE">
        <w:rPr>
          <w:rStyle w:val="BookTitle"/>
          <w:rFonts w:ascii="標楷體" w:eastAsia="標楷體" w:hAnsi="標楷體"/>
          <w:color w:val="auto"/>
          <w:spacing w:val="0"/>
          <w:sz w:val="18"/>
          <w:lang w:eastAsia="zh-TW"/>
        </w:rPr>
        <w:t>中國信託商業銀行股份有限公司</w:t>
      </w:r>
      <w:r w:rsidR="00936A12" w:rsidRPr="00EA08BD">
        <w:rPr>
          <w:rStyle w:val="BookTitle"/>
          <w:rFonts w:ascii="標楷體" w:eastAsia="標楷體" w:hAnsi="標楷體" w:hint="eastAsia"/>
          <w:color w:val="auto"/>
          <w:spacing w:val="0"/>
          <w:sz w:val="18"/>
          <w:lang w:eastAsia="zh-TW"/>
        </w:rPr>
        <w:t>(</w:t>
      </w:r>
      <w:hyperlink r:id="rId8" w:history="1">
        <w:r w:rsidR="00C4650C" w:rsidRPr="00C4650C">
          <w:rPr>
            <w:rStyle w:val="BookTitle"/>
            <w:rFonts w:ascii="標楷體" w:eastAsia="標楷體" w:hAnsi="標楷體" w:hint="eastAsia"/>
            <w:color w:val="auto"/>
            <w:spacing w:val="0"/>
            <w:sz w:val="18"/>
          </w:rPr>
          <w:t>https://www.ctbcbank.com/</w:t>
        </w:r>
      </w:hyperlink>
      <w:r w:rsidR="00936A12" w:rsidRPr="00EA08BD">
        <w:rPr>
          <w:rStyle w:val="BookTitle"/>
          <w:rFonts w:ascii="標楷體" w:eastAsia="標楷體" w:hAnsi="標楷體" w:hint="eastAsia"/>
          <w:color w:val="auto"/>
          <w:spacing w:val="0"/>
          <w:sz w:val="18"/>
          <w:lang w:eastAsia="zh-TW"/>
        </w:rPr>
        <w:t>)</w:t>
      </w:r>
      <w:r w:rsidR="00936A12" w:rsidRPr="00936A12">
        <w:rPr>
          <w:rStyle w:val="BookTitle"/>
          <w:rFonts w:ascii="標楷體" w:eastAsia="標楷體" w:hAnsi="標楷體" w:hint="eastAsia"/>
          <w:color w:val="auto"/>
          <w:spacing w:val="0"/>
          <w:sz w:val="18"/>
          <w:lang w:eastAsia="zh-TW"/>
        </w:rPr>
        <w:t xml:space="preserve"> </w:t>
      </w:r>
      <w:r w:rsidR="00936A12" w:rsidRPr="00EA08BD">
        <w:rPr>
          <w:rStyle w:val="BookTitle"/>
          <w:rFonts w:ascii="標楷體" w:eastAsia="標楷體" w:hAnsi="標楷體" w:hint="eastAsia"/>
          <w:color w:val="auto"/>
          <w:spacing w:val="0"/>
          <w:sz w:val="18"/>
          <w:lang w:eastAsia="zh-TW"/>
        </w:rPr>
        <w:t>，</w:t>
      </w:r>
      <w:r w:rsidR="00275FC7" w:rsidRPr="00EA08BD">
        <w:rPr>
          <w:rStyle w:val="BookTitle"/>
          <w:rFonts w:ascii="標楷體" w:eastAsia="標楷體" w:hAnsi="標楷體" w:hint="eastAsia"/>
          <w:color w:val="auto"/>
          <w:spacing w:val="0"/>
          <w:sz w:val="18"/>
          <w:lang w:eastAsia="zh-TW"/>
        </w:rPr>
        <w:t>永豐金證券股份有限公司(</w:t>
      </w:r>
      <w:hyperlink r:id="rId9" w:history="1">
        <w:r w:rsidR="00BD7013" w:rsidRPr="00BD7013">
          <w:rPr>
            <w:rStyle w:val="BookTitle"/>
            <w:rFonts w:ascii="標楷體" w:eastAsia="標楷體" w:hAnsi="標楷體" w:hint="eastAsia"/>
            <w:color w:val="auto"/>
            <w:spacing w:val="0"/>
            <w:sz w:val="18"/>
            <w:lang w:eastAsia="zh-TW"/>
          </w:rPr>
          <w:t>http://www.sinotrade.com.tw</w:t>
        </w:r>
      </w:hyperlink>
      <w:r w:rsidR="00275FC7" w:rsidRPr="00EA08BD">
        <w:rPr>
          <w:rStyle w:val="BookTitle"/>
          <w:rFonts w:ascii="標楷體" w:eastAsia="標楷體" w:hAnsi="標楷體" w:hint="eastAsia"/>
          <w:color w:val="auto"/>
          <w:spacing w:val="0"/>
          <w:sz w:val="18"/>
          <w:lang w:eastAsia="zh-TW"/>
        </w:rPr>
        <w:t>)，</w:t>
      </w:r>
      <w:r w:rsidR="00531B3B" w:rsidRPr="00F830EE">
        <w:rPr>
          <w:rStyle w:val="BookTitle"/>
          <w:rFonts w:ascii="標楷體" w:eastAsia="標楷體" w:hAnsi="標楷體" w:hint="eastAsia"/>
          <w:color w:val="auto"/>
          <w:spacing w:val="0"/>
          <w:sz w:val="18"/>
          <w:lang w:eastAsia="zh-TW"/>
        </w:rPr>
        <w:t>玉山商業銀行股份有限公司(</w:t>
      </w:r>
      <w:r w:rsidR="00531B3B" w:rsidRPr="009D7F60">
        <w:rPr>
          <w:rStyle w:val="BookTitle"/>
          <w:rFonts w:ascii="標楷體" w:eastAsia="標楷體" w:hAnsi="標楷體" w:hint="eastAsia"/>
          <w:color w:val="auto"/>
          <w:spacing w:val="0"/>
          <w:sz w:val="18"/>
          <w:lang w:eastAsia="zh-TW"/>
        </w:rPr>
        <w:t>https://www.esunbank.com.tw)</w:t>
      </w:r>
      <w:r w:rsidR="00531B3B" w:rsidRPr="00F830EE">
        <w:rPr>
          <w:rStyle w:val="BookTitle"/>
          <w:rFonts w:ascii="標楷體" w:eastAsia="標楷體" w:hAnsi="標楷體" w:hint="eastAsia"/>
          <w:color w:val="auto"/>
          <w:spacing w:val="0"/>
          <w:sz w:val="18"/>
          <w:lang w:eastAsia="zh-TW"/>
        </w:rPr>
        <w:t>，</w:t>
      </w:r>
      <w:r w:rsidR="00471CA5" w:rsidRPr="00F830EE">
        <w:rPr>
          <w:rStyle w:val="BookTitle"/>
          <w:rFonts w:ascii="標楷體" w:eastAsia="標楷體" w:hAnsi="標楷體"/>
          <w:color w:val="auto"/>
          <w:spacing w:val="0"/>
          <w:sz w:val="18"/>
          <w:lang w:eastAsia="zh-TW"/>
        </w:rPr>
        <w:t>凱基證券股份有限公司</w:t>
      </w:r>
      <w:r w:rsidR="00471CA5" w:rsidRPr="00EA08BD">
        <w:rPr>
          <w:rStyle w:val="BookTitle"/>
          <w:rFonts w:ascii="標楷體" w:eastAsia="標楷體" w:hAnsi="標楷體" w:hint="eastAsia"/>
          <w:color w:val="auto"/>
          <w:spacing w:val="0"/>
          <w:sz w:val="18"/>
          <w:lang w:eastAsia="zh-TW"/>
        </w:rPr>
        <w:t>(</w:t>
      </w:r>
      <w:r w:rsidR="00471CA5" w:rsidRPr="00F830EE">
        <w:rPr>
          <w:rStyle w:val="BookTitle"/>
          <w:rFonts w:ascii="標楷體" w:eastAsia="標楷體" w:hAnsi="標楷體"/>
          <w:color w:val="auto"/>
          <w:spacing w:val="0"/>
          <w:sz w:val="18"/>
          <w:lang w:eastAsia="zh-TW"/>
        </w:rPr>
        <w:t>http://www.kgieworld.com.tw</w:t>
      </w:r>
      <w:r w:rsidR="00471CA5" w:rsidRPr="00296F90">
        <w:rPr>
          <w:rStyle w:val="BookTitle"/>
          <w:rFonts w:ascii="標楷體" w:eastAsia="標楷體" w:hAnsi="標楷體" w:hint="eastAsia"/>
          <w:color w:val="auto"/>
          <w:spacing w:val="0"/>
          <w:sz w:val="18"/>
          <w:lang w:eastAsia="zh-TW"/>
        </w:rPr>
        <w:t xml:space="preserve"> </w:t>
      </w:r>
      <w:r w:rsidR="00471CA5" w:rsidRPr="00EA08BD">
        <w:rPr>
          <w:rStyle w:val="BookTitle"/>
          <w:rFonts w:ascii="標楷體" w:eastAsia="標楷體" w:hAnsi="標楷體" w:hint="eastAsia"/>
          <w:color w:val="auto"/>
          <w:spacing w:val="0"/>
          <w:sz w:val="18"/>
          <w:lang w:eastAsia="zh-TW"/>
        </w:rPr>
        <w:t>)，</w:t>
      </w:r>
      <w:r w:rsidR="00296F90" w:rsidRPr="00F830EE">
        <w:rPr>
          <w:rStyle w:val="BookTitle"/>
          <w:rFonts w:ascii="標楷體" w:eastAsia="標楷體" w:hAnsi="標楷體" w:hint="eastAsia"/>
          <w:color w:val="auto"/>
          <w:spacing w:val="0"/>
          <w:sz w:val="18"/>
          <w:lang w:eastAsia="zh-TW"/>
        </w:rPr>
        <w:t>國泰世華商業銀行股份有限公司</w:t>
      </w:r>
      <w:bookmarkStart w:id="10" w:name="_Hlk21015570"/>
      <w:r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https://www.cathaybk.com.tw/cathaybk/</w:t>
      </w:r>
      <w:r w:rsidRPr="00EA08BD">
        <w:rPr>
          <w:rStyle w:val="BookTitle"/>
          <w:rFonts w:ascii="標楷體" w:eastAsia="標楷體" w:hAnsi="標楷體" w:hint="eastAsia"/>
          <w:color w:val="auto"/>
          <w:spacing w:val="0"/>
          <w:sz w:val="18"/>
          <w:lang w:eastAsia="zh-TW"/>
        </w:rPr>
        <w:t>)，</w:t>
      </w:r>
      <w:bookmarkStart w:id="11" w:name="_Hlk23950433"/>
      <w:bookmarkEnd w:id="10"/>
      <w:r w:rsidR="001C3B68" w:rsidRPr="00F830EE">
        <w:rPr>
          <w:rStyle w:val="BookTitle"/>
          <w:rFonts w:ascii="標楷體" w:eastAsia="標楷體" w:hAnsi="標楷體" w:hint="eastAsia"/>
          <w:color w:val="auto"/>
          <w:spacing w:val="0"/>
          <w:sz w:val="18"/>
          <w:lang w:eastAsia="zh-TW"/>
        </w:rPr>
        <w:t>元大證券股份有限公司</w:t>
      </w:r>
      <w:r w:rsidR="001C3B68" w:rsidRPr="00F830EE">
        <w:rPr>
          <w:rStyle w:val="BookTitle"/>
          <w:rFonts w:ascii="標楷體" w:eastAsia="標楷體" w:hAnsi="標楷體"/>
          <w:color w:val="auto"/>
          <w:spacing w:val="0"/>
          <w:sz w:val="18"/>
          <w:lang w:eastAsia="zh-TW"/>
        </w:rPr>
        <w:t>，網址：</w:t>
      </w:r>
      <w:r w:rsidR="009D0C37">
        <w:rPr>
          <w:rStyle w:val="BookTitle"/>
          <w:rFonts w:ascii="標楷體" w:eastAsia="標楷體" w:hAnsi="標楷體" w:hint="eastAsia"/>
          <w:color w:val="auto"/>
          <w:spacing w:val="0"/>
          <w:sz w:val="18"/>
          <w:lang w:eastAsia="zh-TW"/>
        </w:rPr>
        <w:t>(</w:t>
      </w:r>
      <w:r w:rsidR="009D0C37" w:rsidRPr="009D0C37">
        <w:rPr>
          <w:rStyle w:val="BookTitle"/>
          <w:rFonts w:ascii="標楷體" w:eastAsia="標楷體" w:hAnsi="標楷體" w:hint="eastAsia"/>
          <w:color w:val="auto"/>
          <w:spacing w:val="0"/>
          <w:sz w:val="18"/>
          <w:lang w:eastAsia="zh-TW"/>
        </w:rPr>
        <w:t>https://clicktime.symantec.com/34T3RJuWfFDj4TxivYYUjhm7Vc?u=https%3A%2F%2Fwww.yuanta.com.tw%2Feyuanta%2Fsecurities%2Fnews%2Findex%3Fcategoryid%3Ds000000602%26categoryid%3Ds000000602</w:t>
      </w:r>
      <w:r w:rsidR="00EA5869">
        <w:rPr>
          <w:rStyle w:val="BookTitle"/>
          <w:rFonts w:ascii="標楷體" w:eastAsia="標楷體" w:hAnsi="標楷體" w:hint="eastAsia"/>
          <w:color w:val="auto"/>
          <w:spacing w:val="0"/>
          <w:sz w:val="18"/>
          <w:lang w:eastAsia="zh-TW"/>
        </w:rPr>
        <w:t>)</w:t>
      </w:r>
      <w:bookmarkEnd w:id="11"/>
      <w:r w:rsidR="000379A5" w:rsidRPr="00EA08BD">
        <w:rPr>
          <w:rStyle w:val="BookTitle"/>
          <w:rFonts w:ascii="標楷體" w:eastAsia="標楷體" w:hAnsi="標楷體" w:hint="eastAsia"/>
          <w:color w:val="auto"/>
          <w:spacing w:val="0"/>
          <w:sz w:val="18"/>
          <w:lang w:eastAsia="zh-TW"/>
        </w:rPr>
        <w:t>，</w:t>
      </w:r>
      <w:r w:rsidR="009D7F60" w:rsidRPr="00F830EE">
        <w:rPr>
          <w:rStyle w:val="BookTitle"/>
          <w:rFonts w:ascii="標楷體" w:eastAsia="標楷體" w:hAnsi="標楷體"/>
          <w:color w:val="auto"/>
          <w:spacing w:val="0"/>
          <w:sz w:val="18"/>
          <w:lang w:eastAsia="zh-TW"/>
        </w:rPr>
        <w:t>富邦綜合證券股份有限公司</w:t>
      </w:r>
      <w:r w:rsidR="009D7F60" w:rsidRPr="00F830EE">
        <w:rPr>
          <w:rStyle w:val="BookTitle"/>
          <w:rFonts w:ascii="標楷體" w:eastAsia="標楷體" w:hAnsi="標楷體" w:hint="eastAsia"/>
          <w:color w:val="auto"/>
          <w:spacing w:val="0"/>
          <w:sz w:val="18"/>
          <w:lang w:eastAsia="zh-TW"/>
        </w:rPr>
        <w:t>(</w:t>
      </w:r>
      <w:r w:rsidR="009D7F60" w:rsidRPr="009D7F60">
        <w:rPr>
          <w:rStyle w:val="BookTitle"/>
          <w:rFonts w:ascii="標楷體" w:eastAsia="標楷體" w:hAnsi="標楷體"/>
          <w:color w:val="auto"/>
          <w:spacing w:val="0"/>
          <w:sz w:val="18"/>
          <w:lang w:eastAsia="zh-TW"/>
        </w:rPr>
        <w:t>www.fubon.com/securities/home/</w:t>
      </w:r>
      <w:r w:rsidR="009D7F60" w:rsidRPr="009D7F60">
        <w:rPr>
          <w:rStyle w:val="BookTitle"/>
          <w:rFonts w:ascii="標楷體" w:eastAsia="標楷體" w:hAnsi="標楷體" w:hint="eastAsia"/>
          <w:color w:val="auto"/>
          <w:spacing w:val="0"/>
          <w:sz w:val="18"/>
          <w:lang w:eastAsia="zh-TW"/>
        </w:rPr>
        <w:t>)</w:t>
      </w:r>
      <w:r w:rsidR="009D7F60" w:rsidRPr="00F830EE">
        <w:rPr>
          <w:rStyle w:val="BookTitle"/>
          <w:rFonts w:ascii="標楷體" w:eastAsia="標楷體" w:hAnsi="標楷體" w:hint="eastAsia"/>
          <w:color w:val="auto"/>
          <w:spacing w:val="0"/>
          <w:sz w:val="18"/>
          <w:lang w:eastAsia="zh-TW"/>
        </w:rPr>
        <w:t>，</w:t>
      </w:r>
      <w:r w:rsidR="00EA5869" w:rsidRPr="006F7900">
        <w:rPr>
          <w:rStyle w:val="BookTitle"/>
          <w:rFonts w:ascii="標楷體" w:eastAsia="標楷體" w:hAnsi="標楷體" w:cs="Times New Roman" w:hint="eastAsia"/>
          <w:color w:val="auto"/>
          <w:spacing w:val="0"/>
          <w:sz w:val="18"/>
          <w:lang w:eastAsia="zh-TW"/>
        </w:rPr>
        <w:t>群益金鼎證券股份有限公司</w:t>
      </w:r>
      <w:r w:rsidR="00EA5869" w:rsidRPr="00125B0F">
        <w:rPr>
          <w:rStyle w:val="BookTitle"/>
          <w:rFonts w:ascii="標楷體" w:eastAsia="標楷體" w:hAnsi="標楷體"/>
          <w:color w:val="auto"/>
          <w:spacing w:val="0"/>
          <w:sz w:val="18"/>
          <w:lang w:eastAsia="zh-TW"/>
        </w:rPr>
        <w:t>網址</w:t>
      </w:r>
      <w:r w:rsidR="00EA5869" w:rsidRPr="001707AF">
        <w:rPr>
          <w:rStyle w:val="Hyperlink"/>
          <w:bCs/>
          <w:iCs/>
          <w:color w:val="auto"/>
        </w:rPr>
        <w:t>(</w:t>
      </w:r>
      <w:hyperlink r:id="rId10" w:history="1">
        <w:r w:rsidR="00B24D3B" w:rsidRPr="00B24D3B">
          <w:rPr>
            <w:rStyle w:val="BookTitle"/>
            <w:rFonts w:ascii="標楷體" w:eastAsia="標楷體" w:hAnsi="標楷體" w:hint="eastAsia"/>
            <w:color w:val="auto"/>
            <w:spacing w:val="0"/>
            <w:sz w:val="18"/>
            <w:lang w:eastAsia="zh-TW"/>
          </w:rPr>
          <w:t>https://clicktime.symantec.com/34UJXcng1qufiVy8nZbpQSR7Vc?u=https%3A%2F%2Fwww.capital.com.tw</w:t>
        </w:r>
      </w:hyperlink>
      <w:r w:rsidR="00EA5869" w:rsidRPr="00F12BA2">
        <w:rPr>
          <w:rStyle w:val="BookTitle"/>
          <w:rFonts w:ascii="標楷體" w:eastAsia="標楷體" w:hAnsi="標楷體" w:cs="Times New Roman"/>
          <w:color w:val="auto"/>
          <w:spacing w:val="0"/>
          <w:sz w:val="18"/>
          <w:szCs w:val="20"/>
          <w:lang w:eastAsia="zh-TW"/>
        </w:rPr>
        <w:t>)</w:t>
      </w:r>
      <w:r w:rsidR="00EA5869" w:rsidRPr="00F12BA2">
        <w:rPr>
          <w:rStyle w:val="BookTitle"/>
          <w:rFonts w:ascii="標楷體" w:eastAsia="標楷體" w:hAnsi="標楷體" w:cs="Times New Roman" w:hint="eastAsia"/>
          <w:color w:val="auto"/>
          <w:spacing w:val="0"/>
          <w:sz w:val="18"/>
          <w:szCs w:val="20"/>
          <w:lang w:eastAsia="zh-TW"/>
        </w:rPr>
        <w:t>，</w:t>
      </w:r>
      <w:r w:rsidR="001C3B68" w:rsidRPr="00EA08BD">
        <w:rPr>
          <w:rStyle w:val="BookTitle"/>
          <w:rFonts w:ascii="標楷體" w:eastAsia="標楷體" w:hAnsi="標楷體" w:hint="eastAsia"/>
          <w:color w:val="auto"/>
          <w:spacing w:val="0"/>
          <w:sz w:val="18"/>
          <w:lang w:eastAsia="zh-TW"/>
        </w:rPr>
        <w:t>兆豐國際商業銀行股份有限公司(</w:t>
      </w:r>
      <w:r w:rsidR="001C3B68" w:rsidRPr="00EA08BD">
        <w:rPr>
          <w:rStyle w:val="BookTitle"/>
          <w:rFonts w:ascii="標楷體" w:eastAsia="標楷體" w:hAnsi="標楷體"/>
          <w:color w:val="auto"/>
          <w:spacing w:val="0"/>
          <w:sz w:val="18"/>
          <w:lang w:eastAsia="zh-TW"/>
        </w:rPr>
        <w:t>https://www.megabank.com.tw</w:t>
      </w:r>
      <w:r w:rsidR="001C3B68" w:rsidRPr="00EA08BD">
        <w:rPr>
          <w:rStyle w:val="BookTitle"/>
          <w:rFonts w:ascii="標楷體" w:eastAsia="標楷體" w:hAnsi="標楷體" w:hint="eastAsia"/>
          <w:color w:val="auto"/>
          <w:spacing w:val="0"/>
          <w:sz w:val="18"/>
          <w:lang w:eastAsia="zh-TW"/>
        </w:rPr>
        <w:t>)</w:t>
      </w:r>
      <w:r w:rsidR="001C3B68" w:rsidRPr="001C3B68">
        <w:rPr>
          <w:rStyle w:val="BookTitle"/>
          <w:rFonts w:ascii="標楷體" w:eastAsia="標楷體" w:hAnsi="標楷體" w:hint="eastAsia"/>
          <w:color w:val="auto"/>
          <w:spacing w:val="0"/>
          <w:sz w:val="18"/>
          <w:lang w:eastAsia="zh-TW"/>
        </w:rPr>
        <w:t xml:space="preserve"> </w:t>
      </w:r>
      <w:r w:rsidR="001C3B68" w:rsidRPr="00EA08BD">
        <w:rPr>
          <w:rStyle w:val="BookTitle"/>
          <w:rFonts w:ascii="標楷體" w:eastAsia="標楷體" w:hAnsi="標楷體" w:hint="eastAsia"/>
          <w:color w:val="auto"/>
          <w:spacing w:val="0"/>
          <w:sz w:val="18"/>
          <w:lang w:eastAsia="zh-TW"/>
        </w:rPr>
        <w:t>，</w:t>
      </w:r>
      <w:r w:rsidR="00296F90" w:rsidRPr="00F830EE">
        <w:rPr>
          <w:rStyle w:val="BookTitle"/>
          <w:rFonts w:ascii="標楷體" w:eastAsia="標楷體" w:hAnsi="標楷體"/>
          <w:color w:val="auto"/>
          <w:spacing w:val="0"/>
          <w:sz w:val="18"/>
          <w:lang w:eastAsia="zh-TW"/>
        </w:rPr>
        <w:t>凱基商業銀行股份有限公司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https://www.kgibank.com/</w:t>
      </w:r>
      <w:r w:rsidR="00A629A5" w:rsidRPr="00EA08BD">
        <w:rPr>
          <w:rStyle w:val="BookTitle"/>
          <w:rFonts w:ascii="標楷體" w:eastAsia="標楷體" w:hAnsi="標楷體" w:hint="eastAsia"/>
          <w:color w:val="auto"/>
          <w:spacing w:val="0"/>
          <w:sz w:val="18"/>
          <w:lang w:eastAsia="zh-TW"/>
        </w:rPr>
        <w:t>)，</w:t>
      </w:r>
      <w:r w:rsidR="00296F90" w:rsidRPr="00F830EE">
        <w:rPr>
          <w:rStyle w:val="BookTitle"/>
          <w:rFonts w:ascii="標楷體" w:eastAsia="標楷體" w:hAnsi="標楷體" w:hint="eastAsia"/>
          <w:color w:val="auto"/>
          <w:spacing w:val="0"/>
          <w:sz w:val="18"/>
          <w:lang w:eastAsia="zh-TW"/>
        </w:rPr>
        <w:t>統一綜合證券股份有限公司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hint="eastAsia"/>
          <w:color w:val="auto"/>
          <w:spacing w:val="0"/>
          <w:sz w:val="18"/>
          <w:lang w:eastAsia="zh-TW"/>
        </w:rPr>
        <w:t>http://www.pscnet.com.tw/</w:t>
      </w:r>
      <w:r w:rsidR="00A629A5" w:rsidRPr="00EA08BD">
        <w:rPr>
          <w:rStyle w:val="BookTitle"/>
          <w:rFonts w:ascii="標楷體" w:eastAsia="標楷體" w:hAnsi="標楷體" w:hint="eastAsia"/>
          <w:color w:val="auto"/>
          <w:spacing w:val="0"/>
          <w:sz w:val="18"/>
          <w:lang w:eastAsia="zh-TW"/>
        </w:rPr>
        <w:t>)</w:t>
      </w:r>
      <w:r w:rsidRPr="00EA08BD">
        <w:rPr>
          <w:rStyle w:val="BookTitle"/>
          <w:rFonts w:ascii="標楷體" w:eastAsia="標楷體" w:hAnsi="標楷體"/>
          <w:color w:val="auto"/>
          <w:spacing w:val="0"/>
          <w:sz w:val="18"/>
          <w:lang w:eastAsia="zh-TW"/>
        </w:rPr>
        <w:t>查詢。</w:t>
      </w:r>
    </w:p>
    <w:p w:rsidR="00702B3F" w:rsidRPr="00E52186" w:rsidRDefault="00D12BB8" w:rsidP="00D12BB8">
      <w:pPr>
        <w:pStyle w:val="ListParagraph"/>
        <w:numPr>
          <w:ilvl w:val="0"/>
          <w:numId w:val="6"/>
        </w:numPr>
        <w:rPr>
          <w:rStyle w:val="BookTitle"/>
          <w:rFonts w:ascii="標楷體" w:eastAsia="標楷體" w:hAnsi="標楷體"/>
          <w:bCs w:val="0"/>
          <w:iCs w:val="0"/>
          <w:color w:val="000000"/>
          <w:spacing w:val="0"/>
          <w:sz w:val="18"/>
        </w:rPr>
      </w:pPr>
      <w:r w:rsidRPr="00E52186">
        <w:rPr>
          <w:rStyle w:val="BookTitle"/>
          <w:rFonts w:ascii="標楷體" w:eastAsia="標楷體" w:hAnsi="標楷體"/>
          <w:color w:val="000000"/>
          <w:spacing w:val="0"/>
          <w:sz w:val="18"/>
          <w:lang w:eastAsia="zh-TW"/>
        </w:rPr>
        <w:t>會計師對發行人最近</w:t>
      </w:r>
      <w:proofErr w:type="gramStart"/>
      <w:r w:rsidRPr="00E52186">
        <w:rPr>
          <w:rStyle w:val="BookTitle"/>
          <w:rFonts w:ascii="標楷體" w:eastAsia="標楷體" w:hAnsi="標楷體"/>
          <w:color w:val="000000"/>
          <w:spacing w:val="0"/>
          <w:sz w:val="18"/>
          <w:lang w:eastAsia="zh-TW"/>
        </w:rPr>
        <w:t>三</w:t>
      </w:r>
      <w:proofErr w:type="gramEnd"/>
      <w:r w:rsidRPr="00E52186">
        <w:rPr>
          <w:rStyle w:val="BookTitle"/>
          <w:rFonts w:ascii="標楷體" w:eastAsia="標楷體" w:hAnsi="標楷體"/>
          <w:color w:val="000000"/>
          <w:spacing w:val="0"/>
          <w:sz w:val="18"/>
          <w:lang w:eastAsia="zh-TW"/>
        </w:rPr>
        <w:t>年度財務資料之查核簽證意見</w:t>
      </w:r>
    </w:p>
    <w:tbl>
      <w:tblPr>
        <w:tblStyle w:val="TableGrid"/>
        <w:tblW w:w="0" w:type="auto"/>
        <w:tblInd w:w="501" w:type="dxa"/>
        <w:tblLook w:val="04A0" w:firstRow="1" w:lastRow="0" w:firstColumn="1" w:lastColumn="0" w:noHBand="0" w:noVBand="1"/>
      </w:tblPr>
      <w:tblGrid>
        <w:gridCol w:w="2357"/>
        <w:gridCol w:w="3345"/>
        <w:gridCol w:w="3544"/>
      </w:tblGrid>
      <w:tr w:rsidR="0014190C" w:rsidRPr="00B46359" w:rsidTr="0014190C">
        <w:tc>
          <w:tcPr>
            <w:tcW w:w="2357" w:type="dxa"/>
          </w:tcPr>
          <w:p w:rsidR="0014190C" w:rsidRPr="00620797" w:rsidRDefault="0014190C" w:rsidP="00554D92">
            <w:pPr>
              <w:pStyle w:val="ListParagraph"/>
              <w:ind w:left="0"/>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年度</w:t>
            </w:r>
          </w:p>
        </w:tc>
        <w:tc>
          <w:tcPr>
            <w:tcW w:w="3345" w:type="dxa"/>
          </w:tcPr>
          <w:p w:rsidR="0014190C" w:rsidRPr="00620797" w:rsidRDefault="0014190C" w:rsidP="00554D92">
            <w:pPr>
              <w:pStyle w:val="ListParagraph"/>
              <w:ind w:left="0"/>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會計師事務所</w:t>
            </w:r>
          </w:p>
        </w:tc>
        <w:tc>
          <w:tcPr>
            <w:tcW w:w="3544" w:type="dxa"/>
          </w:tcPr>
          <w:p w:rsidR="0014190C" w:rsidRPr="00620797" w:rsidRDefault="0014190C" w:rsidP="00554D92">
            <w:pPr>
              <w:pStyle w:val="ListParagraph"/>
              <w:ind w:left="0"/>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查核意見</w:t>
            </w:r>
          </w:p>
        </w:tc>
      </w:tr>
      <w:tr w:rsidR="0014190C" w:rsidRPr="00B46359" w:rsidTr="0014190C">
        <w:tc>
          <w:tcPr>
            <w:tcW w:w="2357" w:type="dxa"/>
          </w:tcPr>
          <w:p w:rsidR="0014190C" w:rsidRPr="00620797" w:rsidRDefault="009327C6" w:rsidP="00554D92">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201</w:t>
            </w:r>
            <w:r>
              <w:rPr>
                <w:rStyle w:val="BookTitle"/>
                <w:rFonts w:ascii="標楷體" w:eastAsia="標楷體" w:hAnsi="標楷體"/>
                <w:color w:val="auto"/>
                <w:spacing w:val="0"/>
                <w:sz w:val="18"/>
                <w:lang w:eastAsia="zh-TW"/>
              </w:rPr>
              <w:t>8</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14190C" w:rsidRPr="00620797" w:rsidRDefault="009327C6" w:rsidP="00554D92">
            <w:pPr>
              <w:jc w:val="center"/>
              <w:rPr>
                <w:rStyle w:val="BookTitle"/>
                <w:rFonts w:ascii="標楷體" w:eastAsia="標楷體" w:hAnsi="標楷體"/>
                <w:color w:val="auto"/>
                <w:spacing w:val="0"/>
                <w:sz w:val="18"/>
                <w:lang w:eastAsia="zh-TW"/>
              </w:rPr>
            </w:pPr>
            <w:r>
              <w:rPr>
                <w:rStyle w:val="BookTitle"/>
                <w:rFonts w:ascii="標楷體" w:eastAsia="標楷體" w:hAnsi="標楷體"/>
                <w:color w:val="auto"/>
                <w:spacing w:val="0"/>
                <w:sz w:val="18"/>
                <w:lang w:eastAsia="zh-TW"/>
              </w:rPr>
              <w:t>EY</w:t>
            </w:r>
          </w:p>
        </w:tc>
        <w:tc>
          <w:tcPr>
            <w:tcW w:w="3544" w:type="dxa"/>
            <w:vAlign w:val="center"/>
          </w:tcPr>
          <w:p w:rsidR="0014190C" w:rsidRPr="00B50240" w:rsidRDefault="009327C6" w:rsidP="00554D92">
            <w:pPr>
              <w:jc w:val="center"/>
              <w:rPr>
                <w:rStyle w:val="BookTitle"/>
                <w:rFonts w:ascii="標楷體" w:eastAsia="標楷體" w:hAnsi="標楷體"/>
                <w:color w:val="auto"/>
                <w:spacing w:val="0"/>
                <w:sz w:val="18"/>
                <w:lang w:eastAsia="zh-TW"/>
              </w:rPr>
            </w:pPr>
            <w:r w:rsidRPr="009327C6">
              <w:rPr>
                <w:rStyle w:val="BookTitle"/>
                <w:rFonts w:ascii="標楷體" w:eastAsia="標楷體" w:hAnsi="標楷體"/>
                <w:color w:val="auto"/>
                <w:spacing w:val="0"/>
                <w:sz w:val="18"/>
                <w:lang w:eastAsia="zh-TW"/>
              </w:rPr>
              <w:t>fairly</w:t>
            </w:r>
          </w:p>
        </w:tc>
      </w:tr>
      <w:tr w:rsidR="001C3B68" w:rsidRPr="00B46359" w:rsidTr="0014190C">
        <w:tc>
          <w:tcPr>
            <w:tcW w:w="2357" w:type="dxa"/>
          </w:tcPr>
          <w:p w:rsidR="001C3B68" w:rsidRPr="00620797" w:rsidRDefault="001C3B68" w:rsidP="001C3B68">
            <w:pPr>
              <w:pStyle w:val="ListParagraph"/>
              <w:ind w:left="4"/>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lastRenderedPageBreak/>
              <w:t>2017</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1C3B68" w:rsidRPr="00620797" w:rsidRDefault="001C3B68" w:rsidP="001C3B68">
            <w:pPr>
              <w:jc w:val="center"/>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KPMG</w:t>
            </w:r>
          </w:p>
        </w:tc>
        <w:tc>
          <w:tcPr>
            <w:tcW w:w="3544" w:type="dxa"/>
            <w:vAlign w:val="center"/>
          </w:tcPr>
          <w:p w:rsidR="001C3B68" w:rsidRPr="00B50240" w:rsidRDefault="001C3B68" w:rsidP="001C3B68">
            <w:pPr>
              <w:jc w:val="center"/>
              <w:rPr>
                <w:rStyle w:val="BookTitle"/>
                <w:rFonts w:ascii="標楷體" w:eastAsia="標楷體" w:hAnsi="標楷體"/>
                <w:color w:val="auto"/>
                <w:spacing w:val="0"/>
                <w:sz w:val="18"/>
                <w:lang w:eastAsia="zh-TW"/>
              </w:rPr>
            </w:pPr>
            <w:r w:rsidRPr="00B50240">
              <w:rPr>
                <w:rStyle w:val="BookTitle"/>
                <w:rFonts w:ascii="標楷體" w:eastAsia="標楷體" w:hAnsi="標楷體" w:hint="eastAsia"/>
                <w:color w:val="auto"/>
                <w:spacing w:val="0"/>
                <w:sz w:val="18"/>
                <w:lang w:eastAsia="zh-TW"/>
              </w:rPr>
              <w:t>Unqualified Opinion</w:t>
            </w:r>
          </w:p>
        </w:tc>
      </w:tr>
      <w:tr w:rsidR="001C3B68" w:rsidRPr="00B46359" w:rsidTr="008908F4">
        <w:trPr>
          <w:trHeight w:val="64"/>
        </w:trPr>
        <w:tc>
          <w:tcPr>
            <w:tcW w:w="2357" w:type="dxa"/>
          </w:tcPr>
          <w:p w:rsidR="001C3B68" w:rsidRPr="00620797" w:rsidRDefault="001C3B68" w:rsidP="001C3B68">
            <w:pPr>
              <w:pStyle w:val="ListParagraph"/>
              <w:ind w:left="4"/>
              <w:rPr>
                <w:rStyle w:val="BookTitle"/>
                <w:rFonts w:ascii="標楷體" w:eastAsia="標楷體" w:hAnsi="標楷體"/>
                <w:color w:val="auto"/>
                <w:spacing w:val="0"/>
                <w:sz w:val="18"/>
                <w:lang w:eastAsia="zh-TW"/>
              </w:rPr>
            </w:pPr>
            <w:r w:rsidRPr="00620797">
              <w:rPr>
                <w:rStyle w:val="BookTitle"/>
                <w:rFonts w:ascii="標楷體" w:eastAsia="標楷體" w:hAnsi="標楷體" w:hint="eastAsia"/>
                <w:color w:val="auto"/>
                <w:spacing w:val="0"/>
                <w:sz w:val="18"/>
                <w:lang w:eastAsia="zh-TW"/>
              </w:rPr>
              <w:t>2016 Annual Report</w:t>
            </w:r>
          </w:p>
        </w:tc>
        <w:tc>
          <w:tcPr>
            <w:tcW w:w="3345" w:type="dxa"/>
          </w:tcPr>
          <w:p w:rsidR="001C3B68" w:rsidRPr="00620797" w:rsidRDefault="001C3B68" w:rsidP="001C3B68">
            <w:pPr>
              <w:jc w:val="center"/>
              <w:rPr>
                <w:rStyle w:val="BookTitle"/>
                <w:rFonts w:ascii="標楷體" w:eastAsia="標楷體" w:hAnsi="標楷體"/>
                <w:color w:val="auto"/>
                <w:spacing w:val="0"/>
                <w:sz w:val="18"/>
                <w:lang w:eastAsia="zh-TW"/>
              </w:rPr>
            </w:pPr>
            <w:r>
              <w:rPr>
                <w:rStyle w:val="BookTitle"/>
                <w:rFonts w:ascii="標楷體" w:eastAsia="標楷體" w:hAnsi="標楷體" w:hint="eastAsia"/>
                <w:color w:val="auto"/>
                <w:spacing w:val="0"/>
                <w:sz w:val="18"/>
                <w:lang w:eastAsia="zh-TW"/>
              </w:rPr>
              <w:t>KPMG</w:t>
            </w:r>
          </w:p>
        </w:tc>
        <w:tc>
          <w:tcPr>
            <w:tcW w:w="3544" w:type="dxa"/>
            <w:vAlign w:val="center"/>
          </w:tcPr>
          <w:p w:rsidR="001C3B68" w:rsidRPr="00620797" w:rsidRDefault="001C3B68" w:rsidP="001C3B68">
            <w:pPr>
              <w:jc w:val="center"/>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fair</w:t>
            </w:r>
            <w:r w:rsidRPr="00620797">
              <w:rPr>
                <w:rStyle w:val="BookTitle"/>
                <w:rFonts w:ascii="標楷體" w:eastAsia="標楷體" w:hAnsi="標楷體" w:hint="eastAsia"/>
                <w:color w:val="auto"/>
                <w:spacing w:val="0"/>
                <w:sz w:val="18"/>
                <w:lang w:eastAsia="zh-TW"/>
              </w:rPr>
              <w:t>ly</w:t>
            </w:r>
          </w:p>
        </w:tc>
      </w:tr>
    </w:tbl>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27" w:rsidRDefault="008F5227" w:rsidP="005D3242">
      <w:pPr>
        <w:spacing w:after="0" w:line="240" w:lineRule="auto"/>
      </w:pPr>
      <w:r>
        <w:separator/>
      </w:r>
    </w:p>
  </w:endnote>
  <w:endnote w:type="continuationSeparator" w:id="0">
    <w:p w:rsidR="008F5227" w:rsidRDefault="008F5227"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27" w:rsidRDefault="008F5227" w:rsidP="005D3242">
      <w:pPr>
        <w:spacing w:after="0" w:line="240" w:lineRule="auto"/>
      </w:pPr>
      <w:r>
        <w:separator/>
      </w:r>
    </w:p>
  </w:footnote>
  <w:footnote w:type="continuationSeparator" w:id="0">
    <w:p w:rsidR="008F5227" w:rsidRDefault="008F5227"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D3" w:rsidRDefault="009210D3" w:rsidP="009777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4E59"/>
    <w:rsid w:val="000153A9"/>
    <w:rsid w:val="000202F5"/>
    <w:rsid w:val="000307A9"/>
    <w:rsid w:val="000312BD"/>
    <w:rsid w:val="00035118"/>
    <w:rsid w:val="000379A5"/>
    <w:rsid w:val="00037BDF"/>
    <w:rsid w:val="00044498"/>
    <w:rsid w:val="00046682"/>
    <w:rsid w:val="00047973"/>
    <w:rsid w:val="0005134C"/>
    <w:rsid w:val="00052658"/>
    <w:rsid w:val="00057983"/>
    <w:rsid w:val="00064A5B"/>
    <w:rsid w:val="000765DD"/>
    <w:rsid w:val="0008654C"/>
    <w:rsid w:val="000960C2"/>
    <w:rsid w:val="000A10E2"/>
    <w:rsid w:val="000A3CFD"/>
    <w:rsid w:val="000A50FF"/>
    <w:rsid w:val="000B01B1"/>
    <w:rsid w:val="000B03A3"/>
    <w:rsid w:val="000B2E65"/>
    <w:rsid w:val="000C7C2D"/>
    <w:rsid w:val="000D1AFA"/>
    <w:rsid w:val="000D51B1"/>
    <w:rsid w:val="000D6D3E"/>
    <w:rsid w:val="000E3FAD"/>
    <w:rsid w:val="000F10CB"/>
    <w:rsid w:val="000F2E1A"/>
    <w:rsid w:val="00103101"/>
    <w:rsid w:val="001047EA"/>
    <w:rsid w:val="00104BE4"/>
    <w:rsid w:val="00121F3D"/>
    <w:rsid w:val="00122C6A"/>
    <w:rsid w:val="001267C5"/>
    <w:rsid w:val="001311D1"/>
    <w:rsid w:val="00137B57"/>
    <w:rsid w:val="0014190C"/>
    <w:rsid w:val="00146308"/>
    <w:rsid w:val="00147BA8"/>
    <w:rsid w:val="00155D39"/>
    <w:rsid w:val="00163AC8"/>
    <w:rsid w:val="00164989"/>
    <w:rsid w:val="0019048D"/>
    <w:rsid w:val="001910B4"/>
    <w:rsid w:val="0019351C"/>
    <w:rsid w:val="0019531B"/>
    <w:rsid w:val="001A0BB2"/>
    <w:rsid w:val="001C3B68"/>
    <w:rsid w:val="001C4D32"/>
    <w:rsid w:val="001C57AF"/>
    <w:rsid w:val="001C5B94"/>
    <w:rsid w:val="001D4BD6"/>
    <w:rsid w:val="001D6BA5"/>
    <w:rsid w:val="001E1C58"/>
    <w:rsid w:val="001E274F"/>
    <w:rsid w:val="001F08CB"/>
    <w:rsid w:val="001F09D6"/>
    <w:rsid w:val="001F15B3"/>
    <w:rsid w:val="001F2F68"/>
    <w:rsid w:val="001F7DAA"/>
    <w:rsid w:val="0020409C"/>
    <w:rsid w:val="00204B09"/>
    <w:rsid w:val="0021313A"/>
    <w:rsid w:val="00216326"/>
    <w:rsid w:val="00217ACF"/>
    <w:rsid w:val="00232F94"/>
    <w:rsid w:val="00237F13"/>
    <w:rsid w:val="0025230D"/>
    <w:rsid w:val="00256136"/>
    <w:rsid w:val="00275FC7"/>
    <w:rsid w:val="00286905"/>
    <w:rsid w:val="00293988"/>
    <w:rsid w:val="002940D7"/>
    <w:rsid w:val="00296F90"/>
    <w:rsid w:val="00297A8E"/>
    <w:rsid w:val="002A1875"/>
    <w:rsid w:val="002A33FD"/>
    <w:rsid w:val="002A426E"/>
    <w:rsid w:val="002C02FD"/>
    <w:rsid w:val="002C485B"/>
    <w:rsid w:val="002D4599"/>
    <w:rsid w:val="002D7DDC"/>
    <w:rsid w:val="002F13D5"/>
    <w:rsid w:val="002F6A1C"/>
    <w:rsid w:val="00300319"/>
    <w:rsid w:val="00327A05"/>
    <w:rsid w:val="00330C73"/>
    <w:rsid w:val="00351A51"/>
    <w:rsid w:val="00353725"/>
    <w:rsid w:val="00360D21"/>
    <w:rsid w:val="003669B5"/>
    <w:rsid w:val="003710C5"/>
    <w:rsid w:val="00374F6F"/>
    <w:rsid w:val="0037712C"/>
    <w:rsid w:val="00391272"/>
    <w:rsid w:val="003A1247"/>
    <w:rsid w:val="003B768D"/>
    <w:rsid w:val="003C6E7C"/>
    <w:rsid w:val="003D0A9A"/>
    <w:rsid w:val="003D306F"/>
    <w:rsid w:val="003D5D17"/>
    <w:rsid w:val="003E2791"/>
    <w:rsid w:val="003F1767"/>
    <w:rsid w:val="003F58E3"/>
    <w:rsid w:val="004212B1"/>
    <w:rsid w:val="00425451"/>
    <w:rsid w:val="0042750C"/>
    <w:rsid w:val="00430CA7"/>
    <w:rsid w:val="00431263"/>
    <w:rsid w:val="00433086"/>
    <w:rsid w:val="004352C0"/>
    <w:rsid w:val="00451C80"/>
    <w:rsid w:val="00456842"/>
    <w:rsid w:val="00460259"/>
    <w:rsid w:val="004608C6"/>
    <w:rsid w:val="00461689"/>
    <w:rsid w:val="00471CA5"/>
    <w:rsid w:val="00485F77"/>
    <w:rsid w:val="004950CA"/>
    <w:rsid w:val="004962BD"/>
    <w:rsid w:val="00497DE4"/>
    <w:rsid w:val="004B5C5A"/>
    <w:rsid w:val="004C2DCB"/>
    <w:rsid w:val="004D1AC4"/>
    <w:rsid w:val="0050168F"/>
    <w:rsid w:val="005066A9"/>
    <w:rsid w:val="00511481"/>
    <w:rsid w:val="00517EF1"/>
    <w:rsid w:val="00522A76"/>
    <w:rsid w:val="005273C2"/>
    <w:rsid w:val="00531B3B"/>
    <w:rsid w:val="00537BC6"/>
    <w:rsid w:val="00553308"/>
    <w:rsid w:val="005830A1"/>
    <w:rsid w:val="00585935"/>
    <w:rsid w:val="00596D87"/>
    <w:rsid w:val="005B067A"/>
    <w:rsid w:val="005B6C84"/>
    <w:rsid w:val="005D086B"/>
    <w:rsid w:val="005D264A"/>
    <w:rsid w:val="005D3242"/>
    <w:rsid w:val="005D6896"/>
    <w:rsid w:val="005E060A"/>
    <w:rsid w:val="00605A3F"/>
    <w:rsid w:val="006060BC"/>
    <w:rsid w:val="0061535A"/>
    <w:rsid w:val="006219A6"/>
    <w:rsid w:val="006409EF"/>
    <w:rsid w:val="00646A1F"/>
    <w:rsid w:val="00646D79"/>
    <w:rsid w:val="00650B75"/>
    <w:rsid w:val="00651A9D"/>
    <w:rsid w:val="006544F9"/>
    <w:rsid w:val="0066215A"/>
    <w:rsid w:val="00686E70"/>
    <w:rsid w:val="006A084F"/>
    <w:rsid w:val="006A694C"/>
    <w:rsid w:val="006A74D3"/>
    <w:rsid w:val="006B00BB"/>
    <w:rsid w:val="006C0276"/>
    <w:rsid w:val="006C1196"/>
    <w:rsid w:val="006D1270"/>
    <w:rsid w:val="006D6531"/>
    <w:rsid w:val="006E772A"/>
    <w:rsid w:val="006F1217"/>
    <w:rsid w:val="006F4199"/>
    <w:rsid w:val="006F42EC"/>
    <w:rsid w:val="00702B3F"/>
    <w:rsid w:val="00703A58"/>
    <w:rsid w:val="00704C95"/>
    <w:rsid w:val="0071080E"/>
    <w:rsid w:val="00712CCF"/>
    <w:rsid w:val="00713E2D"/>
    <w:rsid w:val="0073465B"/>
    <w:rsid w:val="007362C4"/>
    <w:rsid w:val="00736C25"/>
    <w:rsid w:val="00740596"/>
    <w:rsid w:val="00740DB4"/>
    <w:rsid w:val="00785756"/>
    <w:rsid w:val="00791800"/>
    <w:rsid w:val="00795BF8"/>
    <w:rsid w:val="007A1624"/>
    <w:rsid w:val="007B0957"/>
    <w:rsid w:val="007C1C5B"/>
    <w:rsid w:val="007D11DE"/>
    <w:rsid w:val="007D1BE9"/>
    <w:rsid w:val="007F0249"/>
    <w:rsid w:val="007F3CC2"/>
    <w:rsid w:val="007F65C4"/>
    <w:rsid w:val="0080137B"/>
    <w:rsid w:val="00802B2F"/>
    <w:rsid w:val="0081759D"/>
    <w:rsid w:val="0082138C"/>
    <w:rsid w:val="00823A7B"/>
    <w:rsid w:val="00824299"/>
    <w:rsid w:val="008256A4"/>
    <w:rsid w:val="00830750"/>
    <w:rsid w:val="008313C6"/>
    <w:rsid w:val="00835338"/>
    <w:rsid w:val="00835B82"/>
    <w:rsid w:val="00843F15"/>
    <w:rsid w:val="0085033D"/>
    <w:rsid w:val="00866938"/>
    <w:rsid w:val="00872C6E"/>
    <w:rsid w:val="00875915"/>
    <w:rsid w:val="00876738"/>
    <w:rsid w:val="0089464C"/>
    <w:rsid w:val="00897BE2"/>
    <w:rsid w:val="008B65F9"/>
    <w:rsid w:val="008C4008"/>
    <w:rsid w:val="008C66AC"/>
    <w:rsid w:val="008D1FFE"/>
    <w:rsid w:val="008D38B0"/>
    <w:rsid w:val="008E0893"/>
    <w:rsid w:val="008E6580"/>
    <w:rsid w:val="008E71AB"/>
    <w:rsid w:val="008F303A"/>
    <w:rsid w:val="008F39DB"/>
    <w:rsid w:val="008F5227"/>
    <w:rsid w:val="00901253"/>
    <w:rsid w:val="009056E7"/>
    <w:rsid w:val="00906147"/>
    <w:rsid w:val="00907792"/>
    <w:rsid w:val="00907F08"/>
    <w:rsid w:val="00911F35"/>
    <w:rsid w:val="009210D3"/>
    <w:rsid w:val="009218CA"/>
    <w:rsid w:val="00926C7F"/>
    <w:rsid w:val="0093020F"/>
    <w:rsid w:val="009315AC"/>
    <w:rsid w:val="009327C6"/>
    <w:rsid w:val="00936110"/>
    <w:rsid w:val="0093656D"/>
    <w:rsid w:val="00936A12"/>
    <w:rsid w:val="00942C89"/>
    <w:rsid w:val="00946054"/>
    <w:rsid w:val="00962D59"/>
    <w:rsid w:val="00977754"/>
    <w:rsid w:val="00992174"/>
    <w:rsid w:val="009A2BBA"/>
    <w:rsid w:val="009A54D9"/>
    <w:rsid w:val="009A67FE"/>
    <w:rsid w:val="009B60E5"/>
    <w:rsid w:val="009B7F33"/>
    <w:rsid w:val="009D0C37"/>
    <w:rsid w:val="009D4304"/>
    <w:rsid w:val="009D7F60"/>
    <w:rsid w:val="009E40E8"/>
    <w:rsid w:val="009F6F61"/>
    <w:rsid w:val="00A1282C"/>
    <w:rsid w:val="00A12AE8"/>
    <w:rsid w:val="00A22FCB"/>
    <w:rsid w:val="00A43ADC"/>
    <w:rsid w:val="00A479A3"/>
    <w:rsid w:val="00A62618"/>
    <w:rsid w:val="00A629A5"/>
    <w:rsid w:val="00A70B07"/>
    <w:rsid w:val="00A7444D"/>
    <w:rsid w:val="00A74901"/>
    <w:rsid w:val="00A9042B"/>
    <w:rsid w:val="00A90922"/>
    <w:rsid w:val="00A96235"/>
    <w:rsid w:val="00AA00B5"/>
    <w:rsid w:val="00AA4FF1"/>
    <w:rsid w:val="00AA592E"/>
    <w:rsid w:val="00AB02C3"/>
    <w:rsid w:val="00AB6739"/>
    <w:rsid w:val="00AE4087"/>
    <w:rsid w:val="00AE7F9F"/>
    <w:rsid w:val="00AF7E6A"/>
    <w:rsid w:val="00B245E0"/>
    <w:rsid w:val="00B245EC"/>
    <w:rsid w:val="00B24D3B"/>
    <w:rsid w:val="00B331AB"/>
    <w:rsid w:val="00B45B31"/>
    <w:rsid w:val="00B56E76"/>
    <w:rsid w:val="00B6543D"/>
    <w:rsid w:val="00B70223"/>
    <w:rsid w:val="00B80BDF"/>
    <w:rsid w:val="00B82DF3"/>
    <w:rsid w:val="00B848A9"/>
    <w:rsid w:val="00B85751"/>
    <w:rsid w:val="00B93A64"/>
    <w:rsid w:val="00B956F3"/>
    <w:rsid w:val="00BB0420"/>
    <w:rsid w:val="00BC7FFE"/>
    <w:rsid w:val="00BD2EC6"/>
    <w:rsid w:val="00BD7013"/>
    <w:rsid w:val="00BE26C9"/>
    <w:rsid w:val="00BE2B43"/>
    <w:rsid w:val="00BE3CF1"/>
    <w:rsid w:val="00BF275D"/>
    <w:rsid w:val="00C039FB"/>
    <w:rsid w:val="00C12D47"/>
    <w:rsid w:val="00C24CBF"/>
    <w:rsid w:val="00C35BBC"/>
    <w:rsid w:val="00C36E87"/>
    <w:rsid w:val="00C4650C"/>
    <w:rsid w:val="00C53B4B"/>
    <w:rsid w:val="00C5794A"/>
    <w:rsid w:val="00C638E8"/>
    <w:rsid w:val="00C6708F"/>
    <w:rsid w:val="00C832C9"/>
    <w:rsid w:val="00C9153E"/>
    <w:rsid w:val="00C93CEB"/>
    <w:rsid w:val="00C959BA"/>
    <w:rsid w:val="00CA736A"/>
    <w:rsid w:val="00CB62C7"/>
    <w:rsid w:val="00CC7F82"/>
    <w:rsid w:val="00CD1EA7"/>
    <w:rsid w:val="00CD2375"/>
    <w:rsid w:val="00CD5DFD"/>
    <w:rsid w:val="00CE6C56"/>
    <w:rsid w:val="00D00274"/>
    <w:rsid w:val="00D12BB8"/>
    <w:rsid w:val="00D42808"/>
    <w:rsid w:val="00D430EB"/>
    <w:rsid w:val="00D455BC"/>
    <w:rsid w:val="00D516EE"/>
    <w:rsid w:val="00D64A06"/>
    <w:rsid w:val="00D65929"/>
    <w:rsid w:val="00D718AF"/>
    <w:rsid w:val="00D72ABC"/>
    <w:rsid w:val="00D75AF9"/>
    <w:rsid w:val="00DA6BDD"/>
    <w:rsid w:val="00DC00F6"/>
    <w:rsid w:val="00DC5D02"/>
    <w:rsid w:val="00DD6A17"/>
    <w:rsid w:val="00DE1F0E"/>
    <w:rsid w:val="00E02191"/>
    <w:rsid w:val="00E06EE1"/>
    <w:rsid w:val="00E1064B"/>
    <w:rsid w:val="00E200F9"/>
    <w:rsid w:val="00E2699A"/>
    <w:rsid w:val="00E52186"/>
    <w:rsid w:val="00E544CC"/>
    <w:rsid w:val="00E54A33"/>
    <w:rsid w:val="00E866AF"/>
    <w:rsid w:val="00E87FF4"/>
    <w:rsid w:val="00E90B4E"/>
    <w:rsid w:val="00E96243"/>
    <w:rsid w:val="00E965C5"/>
    <w:rsid w:val="00EA0532"/>
    <w:rsid w:val="00EA08BD"/>
    <w:rsid w:val="00EA5869"/>
    <w:rsid w:val="00EA6FF0"/>
    <w:rsid w:val="00EC3ED6"/>
    <w:rsid w:val="00EE01CC"/>
    <w:rsid w:val="00EE19A3"/>
    <w:rsid w:val="00EF21E7"/>
    <w:rsid w:val="00EF2CB8"/>
    <w:rsid w:val="00EF4BC2"/>
    <w:rsid w:val="00F00449"/>
    <w:rsid w:val="00F010FA"/>
    <w:rsid w:val="00F02640"/>
    <w:rsid w:val="00F136A8"/>
    <w:rsid w:val="00F1745B"/>
    <w:rsid w:val="00F222C0"/>
    <w:rsid w:val="00F2288D"/>
    <w:rsid w:val="00F3510F"/>
    <w:rsid w:val="00F40E36"/>
    <w:rsid w:val="00F42547"/>
    <w:rsid w:val="00F44327"/>
    <w:rsid w:val="00F62CA2"/>
    <w:rsid w:val="00F830EE"/>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38D5"/>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96F90"/>
    <w:rPr>
      <w:color w:val="289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Apze3P2c5NbSUPEMzjij1P7Vc?u=https%3A%2F%2Fwww.ctbcbank.com%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icktime.symantec.com/34UJXcng1qufiVy8nZbpQSR7Vc?u=https%3A%2F%2Fwww.capital.com.tw" TargetMode="External"/><Relationship Id="rId4" Type="http://schemas.openxmlformats.org/officeDocument/2006/relationships/settings" Target="settings.xml"/><Relationship Id="rId9" Type="http://schemas.openxmlformats.org/officeDocument/2006/relationships/hyperlink" Target="https://clicktime.symantec.com/3A5vFTtBurfmHFMqGcZswia7Vc?u=http%3A%2F%2Fwww.sinotrade.com.tw" TargetMode="External"/><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95F4-D0DB-4EBA-8FDD-A92C0F99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Hsiao, Spans Che Cheng</cp:lastModifiedBy>
  <cp:revision>16</cp:revision>
  <cp:lastPrinted>2019-07-02T04:06:00Z</cp:lastPrinted>
  <dcterms:created xsi:type="dcterms:W3CDTF">2019-11-06T07:38:00Z</dcterms:created>
  <dcterms:modified xsi:type="dcterms:W3CDTF">2019-11-11T03:20:00Z</dcterms:modified>
</cp:coreProperties>
</file>